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5" w:type="dxa"/>
        <w:tblInd w:w="554" w:type="dxa"/>
        <w:tblBorders>
          <w:left w:val="single" w:sz="6" w:space="0" w:color="00000A"/>
        </w:tblBorders>
        <w:tblCellMar>
          <w:left w:w="35" w:type="dxa"/>
          <w:right w:w="57" w:type="dxa"/>
        </w:tblCellMar>
        <w:tblLook w:val="0000" w:firstRow="0" w:lastRow="0" w:firstColumn="0" w:lastColumn="0" w:noHBand="0" w:noVBand="0"/>
      </w:tblPr>
      <w:tblGrid>
        <w:gridCol w:w="285"/>
        <w:gridCol w:w="3585"/>
        <w:gridCol w:w="5745"/>
      </w:tblGrid>
      <w:tr w:rsidR="00E8351D">
        <w:tc>
          <w:tcPr>
            <w:tcW w:w="3870" w:type="dxa"/>
            <w:gridSpan w:val="2"/>
            <w:tcBorders>
              <w:left w:val="single" w:sz="6" w:space="0" w:color="00000A"/>
            </w:tcBorders>
            <w:shd w:val="clear" w:color="auto" w:fill="FFFFFF"/>
            <w:tcMar>
              <w:left w:w="35" w:type="dxa"/>
            </w:tcMar>
          </w:tcPr>
          <w:p w:rsidR="00E8351D" w:rsidRDefault="00E8351D">
            <w:pPr>
              <w:widowControl w:val="0"/>
              <w:spacing w:after="0" w:line="240" w:lineRule="auto"/>
              <w:jc w:val="right"/>
              <w:rPr>
                <w:rFonts w:ascii="Arial" w:hAnsi="Arial" w:cs="Arial"/>
                <w:i/>
                <w:iCs/>
                <w:color w:val="505050"/>
                <w:sz w:val="24"/>
                <w:szCs w:val="24"/>
              </w:rPr>
            </w:pPr>
          </w:p>
        </w:tc>
        <w:tc>
          <w:tcPr>
            <w:tcW w:w="5744" w:type="dxa"/>
            <w:tcBorders>
              <w:left w:val="single" w:sz="6" w:space="0" w:color="00000A"/>
              <w:right w:val="single" w:sz="6" w:space="0" w:color="00000A"/>
            </w:tcBorders>
            <w:shd w:val="clear" w:color="auto" w:fill="FFFFFF"/>
            <w:tcMar>
              <w:left w:w="60" w:type="dxa"/>
              <w:right w:w="51" w:type="dxa"/>
            </w:tcMar>
          </w:tcPr>
          <w:p w:rsidR="00E8351D" w:rsidRDefault="00872F84">
            <w:pPr>
              <w:widowControl w:val="0"/>
              <w:spacing w:after="0" w:line="240" w:lineRule="auto"/>
              <w:ind w:right="283"/>
              <w:jc w:val="right"/>
              <w:rPr>
                <w:rFonts w:ascii="Arial" w:hAnsi="Arial" w:cs="Arial"/>
                <w:b/>
                <w:bCs/>
                <w:color w:val="000080"/>
                <w:sz w:val="24"/>
                <w:szCs w:val="24"/>
              </w:rPr>
            </w:pPr>
            <w:r>
              <w:rPr>
                <w:rFonts w:ascii="Arial" w:hAnsi="Arial" w:cs="Arial"/>
                <w:b/>
                <w:bCs/>
                <w:i/>
                <w:iCs/>
                <w:color w:val="000080"/>
                <w:sz w:val="144"/>
                <w:szCs w:val="144"/>
              </w:rPr>
              <w:t>2017</w:t>
            </w:r>
          </w:p>
        </w:tc>
      </w:tr>
      <w:tr w:rsidR="00E8351D">
        <w:tc>
          <w:tcPr>
            <w:tcW w:w="3870" w:type="dxa"/>
            <w:gridSpan w:val="2"/>
            <w:tcBorders>
              <w:left w:val="single" w:sz="6" w:space="0" w:color="00000A"/>
            </w:tcBorders>
            <w:shd w:val="clear" w:color="auto" w:fill="D9D9D9"/>
            <w:tcMar>
              <w:left w:w="35" w:type="dxa"/>
            </w:tcMar>
          </w:tcPr>
          <w:p w:rsidR="00E8351D" w:rsidRDefault="00E8351D">
            <w:pPr>
              <w:widowControl w:val="0"/>
              <w:spacing w:after="0" w:line="240" w:lineRule="auto"/>
              <w:jc w:val="right"/>
              <w:rPr>
                <w:rFonts w:ascii="Arial" w:hAnsi="Arial" w:cs="Arial"/>
                <w:i/>
                <w:iCs/>
                <w:color w:val="505050"/>
                <w:sz w:val="24"/>
                <w:szCs w:val="24"/>
              </w:rPr>
            </w:pPr>
          </w:p>
          <w:p w:rsidR="00E8351D" w:rsidRDefault="00E8351D">
            <w:pPr>
              <w:widowControl w:val="0"/>
              <w:spacing w:after="0" w:line="240" w:lineRule="auto"/>
              <w:jc w:val="right"/>
              <w:rPr>
                <w:rFonts w:ascii="Arial" w:hAnsi="Arial" w:cs="Arial"/>
                <w:i/>
                <w:iCs/>
                <w:color w:val="505050"/>
                <w:sz w:val="24"/>
                <w:szCs w:val="24"/>
              </w:rPr>
            </w:pPr>
          </w:p>
          <w:p w:rsidR="00E8351D" w:rsidRDefault="00E8351D">
            <w:pPr>
              <w:widowControl w:val="0"/>
              <w:spacing w:after="0" w:line="240" w:lineRule="auto"/>
              <w:jc w:val="right"/>
              <w:rPr>
                <w:rFonts w:ascii="Arial" w:hAnsi="Arial" w:cs="Arial"/>
                <w:i/>
                <w:iCs/>
                <w:color w:val="505050"/>
                <w:sz w:val="24"/>
                <w:szCs w:val="24"/>
              </w:rPr>
            </w:pPr>
          </w:p>
          <w:p w:rsidR="00E8351D" w:rsidRDefault="00E8351D">
            <w:pPr>
              <w:widowControl w:val="0"/>
              <w:spacing w:after="0" w:line="240" w:lineRule="auto"/>
              <w:jc w:val="right"/>
              <w:rPr>
                <w:rFonts w:ascii="Arial" w:hAnsi="Arial" w:cs="Arial"/>
                <w:i/>
                <w:iCs/>
                <w:color w:val="505050"/>
                <w:sz w:val="24"/>
                <w:szCs w:val="24"/>
              </w:rPr>
            </w:pPr>
          </w:p>
          <w:p w:rsidR="00E8351D" w:rsidRDefault="00E8351D">
            <w:pPr>
              <w:widowControl w:val="0"/>
              <w:spacing w:after="0" w:line="240" w:lineRule="auto"/>
              <w:jc w:val="right"/>
              <w:rPr>
                <w:rFonts w:ascii="Arial" w:hAnsi="Arial" w:cs="Arial"/>
                <w:i/>
                <w:iCs/>
                <w:color w:val="505050"/>
                <w:sz w:val="24"/>
                <w:szCs w:val="24"/>
              </w:rPr>
            </w:pPr>
          </w:p>
          <w:p w:rsidR="00E8351D" w:rsidRDefault="00E8351D">
            <w:pPr>
              <w:widowControl w:val="0"/>
              <w:spacing w:after="0" w:line="240" w:lineRule="auto"/>
              <w:jc w:val="right"/>
              <w:rPr>
                <w:rFonts w:ascii="Arial" w:hAnsi="Arial" w:cs="Arial"/>
                <w:i/>
                <w:iCs/>
                <w:color w:val="505050"/>
                <w:sz w:val="24"/>
                <w:szCs w:val="24"/>
              </w:rPr>
            </w:pPr>
          </w:p>
          <w:p w:rsidR="00E8351D" w:rsidRDefault="00872F84">
            <w:pPr>
              <w:widowControl w:val="0"/>
              <w:spacing w:after="0" w:line="240" w:lineRule="auto"/>
              <w:jc w:val="right"/>
              <w:rPr>
                <w:rFonts w:ascii="Arial" w:hAnsi="Arial" w:cs="Arial"/>
                <w:b/>
                <w:bCs/>
                <w:color w:val="505050"/>
              </w:rPr>
            </w:pPr>
            <w:r>
              <w:rPr>
                <w:rFonts w:ascii="Arial" w:hAnsi="Arial" w:cs="Arial"/>
                <w:b/>
                <w:bCs/>
                <w:color w:val="505050"/>
              </w:rPr>
              <w:t>Principio Contabile n.1</w:t>
            </w:r>
          </w:p>
          <w:p w:rsidR="00E8351D" w:rsidRDefault="00872F84">
            <w:pPr>
              <w:widowControl w:val="0"/>
              <w:spacing w:after="0" w:line="240" w:lineRule="auto"/>
              <w:jc w:val="right"/>
              <w:rPr>
                <w:rFonts w:ascii="Arial" w:hAnsi="Arial" w:cs="Arial"/>
                <w:b/>
                <w:bCs/>
                <w:color w:val="505050"/>
              </w:rPr>
            </w:pPr>
            <w:r>
              <w:rPr>
                <w:rFonts w:ascii="Arial" w:hAnsi="Arial" w:cs="Arial"/>
                <w:b/>
                <w:bCs/>
                <w:color w:val="505050"/>
              </w:rPr>
              <w:t>Punto 9.11:</w:t>
            </w:r>
          </w:p>
          <w:p w:rsidR="00E8351D" w:rsidRDefault="00872F84">
            <w:pPr>
              <w:widowControl w:val="0"/>
              <w:spacing w:after="0" w:line="240" w:lineRule="auto"/>
              <w:jc w:val="right"/>
              <w:rPr>
                <w:rFonts w:ascii="Arial" w:hAnsi="Arial" w:cs="Arial"/>
                <w:b/>
                <w:bCs/>
                <w:i/>
                <w:iCs/>
                <w:color w:val="505050"/>
                <w:sz w:val="20"/>
                <w:szCs w:val="20"/>
              </w:rPr>
            </w:pPr>
            <w:r>
              <w:rPr>
                <w:rFonts w:ascii="Arial" w:hAnsi="Arial" w:cs="Arial"/>
                <w:b/>
                <w:bCs/>
                <w:i/>
                <w:iCs/>
                <w:color w:val="505050"/>
                <w:sz w:val="20"/>
                <w:szCs w:val="20"/>
              </w:rPr>
              <w:t>analisi delle entrate</w:t>
            </w:r>
          </w:p>
          <w:p w:rsidR="00E8351D" w:rsidRDefault="00872F84">
            <w:pPr>
              <w:widowControl w:val="0"/>
              <w:spacing w:after="0" w:line="240" w:lineRule="auto"/>
              <w:jc w:val="right"/>
              <w:rPr>
                <w:rFonts w:ascii="Arial" w:hAnsi="Arial" w:cs="Arial"/>
                <w:b/>
                <w:bCs/>
                <w:i/>
                <w:iCs/>
                <w:color w:val="505050"/>
                <w:sz w:val="20"/>
                <w:szCs w:val="20"/>
              </w:rPr>
            </w:pPr>
            <w:r>
              <w:rPr>
                <w:rFonts w:ascii="Arial" w:hAnsi="Arial" w:cs="Arial"/>
                <w:b/>
                <w:bCs/>
                <w:i/>
                <w:iCs/>
                <w:color w:val="505050"/>
                <w:sz w:val="20"/>
                <w:szCs w:val="20"/>
              </w:rPr>
              <w:t>analisi delle spese</w:t>
            </w:r>
          </w:p>
          <w:p w:rsidR="00E8351D" w:rsidRDefault="00872F84">
            <w:pPr>
              <w:widowControl w:val="0"/>
              <w:spacing w:after="0" w:line="240" w:lineRule="auto"/>
              <w:jc w:val="right"/>
              <w:rPr>
                <w:rFonts w:ascii="Arial" w:hAnsi="Arial" w:cs="Arial"/>
                <w:b/>
                <w:bCs/>
                <w:i/>
                <w:iCs/>
                <w:color w:val="505050"/>
                <w:sz w:val="20"/>
                <w:szCs w:val="20"/>
              </w:rPr>
            </w:pPr>
            <w:r>
              <w:rPr>
                <w:rFonts w:ascii="Arial" w:hAnsi="Arial" w:cs="Arial"/>
                <w:b/>
                <w:bCs/>
                <w:i/>
                <w:iCs/>
                <w:color w:val="505050"/>
                <w:sz w:val="20"/>
                <w:szCs w:val="20"/>
              </w:rPr>
              <w:t>avanzo-disavanzo e fondi</w:t>
            </w:r>
          </w:p>
          <w:p w:rsidR="00E8351D" w:rsidRDefault="00872F84">
            <w:pPr>
              <w:widowControl w:val="0"/>
              <w:spacing w:after="0" w:line="240" w:lineRule="auto"/>
              <w:jc w:val="right"/>
              <w:rPr>
                <w:rFonts w:ascii="Arial" w:hAnsi="Arial" w:cs="Arial"/>
                <w:b/>
                <w:bCs/>
                <w:i/>
                <w:iCs/>
                <w:color w:val="505050"/>
                <w:sz w:val="20"/>
                <w:szCs w:val="20"/>
              </w:rPr>
            </w:pPr>
            <w:r>
              <w:rPr>
                <w:rFonts w:ascii="Arial" w:hAnsi="Arial" w:cs="Arial"/>
                <w:b/>
                <w:bCs/>
                <w:i/>
                <w:iCs/>
                <w:color w:val="505050"/>
                <w:sz w:val="20"/>
                <w:szCs w:val="20"/>
              </w:rPr>
              <w:t>pareggio di bilancio</w:t>
            </w:r>
          </w:p>
          <w:p w:rsidR="00E8351D" w:rsidRDefault="00872F84">
            <w:pPr>
              <w:widowControl w:val="0"/>
              <w:spacing w:after="0" w:line="240" w:lineRule="auto"/>
              <w:jc w:val="right"/>
              <w:rPr>
                <w:rFonts w:ascii="Arial" w:hAnsi="Arial" w:cs="Arial"/>
                <w:b/>
                <w:bCs/>
                <w:i/>
                <w:iCs/>
                <w:color w:val="505050"/>
                <w:sz w:val="20"/>
                <w:szCs w:val="20"/>
              </w:rPr>
            </w:pPr>
            <w:r>
              <w:rPr>
                <w:rFonts w:ascii="Arial" w:hAnsi="Arial" w:cs="Arial"/>
                <w:b/>
                <w:bCs/>
                <w:i/>
                <w:iCs/>
                <w:color w:val="505050"/>
                <w:sz w:val="20"/>
                <w:szCs w:val="20"/>
              </w:rPr>
              <w:t>partecipazioni</w:t>
            </w:r>
          </w:p>
          <w:p w:rsidR="00E8351D" w:rsidRDefault="00E8351D">
            <w:pPr>
              <w:widowControl w:val="0"/>
              <w:spacing w:after="0" w:line="240" w:lineRule="auto"/>
              <w:jc w:val="right"/>
              <w:rPr>
                <w:rFonts w:ascii="Arial" w:hAnsi="Arial" w:cs="Arial"/>
                <w:b/>
                <w:bCs/>
                <w:i/>
                <w:iCs/>
                <w:color w:val="505050"/>
                <w:sz w:val="20"/>
                <w:szCs w:val="20"/>
              </w:rPr>
            </w:pPr>
          </w:p>
          <w:p w:rsidR="00E8351D" w:rsidRDefault="00E8351D">
            <w:pPr>
              <w:widowControl w:val="0"/>
              <w:spacing w:after="0" w:line="240" w:lineRule="auto"/>
              <w:jc w:val="right"/>
              <w:rPr>
                <w:rFonts w:ascii="Arial" w:hAnsi="Arial" w:cs="Arial"/>
                <w:i/>
                <w:iCs/>
                <w:color w:val="505050"/>
                <w:sz w:val="24"/>
                <w:szCs w:val="24"/>
              </w:rPr>
            </w:pPr>
          </w:p>
          <w:p w:rsidR="00E8351D" w:rsidRDefault="00E8351D">
            <w:pPr>
              <w:widowControl w:val="0"/>
              <w:spacing w:after="0" w:line="240" w:lineRule="auto"/>
              <w:jc w:val="right"/>
              <w:rPr>
                <w:rFonts w:ascii="Arial" w:hAnsi="Arial" w:cs="Arial"/>
                <w:i/>
                <w:iCs/>
                <w:color w:val="505050"/>
                <w:sz w:val="24"/>
                <w:szCs w:val="24"/>
              </w:rPr>
            </w:pPr>
          </w:p>
          <w:p w:rsidR="00E8351D" w:rsidRDefault="00E8351D">
            <w:pPr>
              <w:widowControl w:val="0"/>
              <w:spacing w:after="0" w:line="240" w:lineRule="auto"/>
              <w:jc w:val="center"/>
              <w:rPr>
                <w:rFonts w:ascii="Arial" w:hAnsi="Arial" w:cs="Arial"/>
                <w:i/>
                <w:iCs/>
                <w:color w:val="505050"/>
                <w:sz w:val="24"/>
                <w:szCs w:val="24"/>
              </w:rPr>
            </w:pPr>
          </w:p>
        </w:tc>
        <w:tc>
          <w:tcPr>
            <w:tcW w:w="5744" w:type="dxa"/>
            <w:tcBorders>
              <w:left w:val="single" w:sz="6" w:space="0" w:color="00000A"/>
              <w:right w:val="single" w:sz="6" w:space="0" w:color="00000A"/>
            </w:tcBorders>
            <w:shd w:val="clear" w:color="auto" w:fill="D9D9D9"/>
            <w:tcMar>
              <w:left w:w="60" w:type="dxa"/>
              <w:right w:w="51" w:type="dxa"/>
            </w:tcMar>
          </w:tcPr>
          <w:p w:rsidR="00E8351D" w:rsidRDefault="00E8351D">
            <w:pPr>
              <w:widowControl w:val="0"/>
              <w:spacing w:after="0" w:line="240" w:lineRule="auto"/>
              <w:rPr>
                <w:rFonts w:ascii="Arial" w:hAnsi="Arial" w:cs="Arial"/>
                <w:b/>
                <w:bCs/>
                <w:color w:val="000080"/>
                <w:sz w:val="24"/>
                <w:szCs w:val="24"/>
              </w:rPr>
            </w:pPr>
          </w:p>
          <w:p w:rsidR="00E8351D" w:rsidRDefault="00872F84">
            <w:pPr>
              <w:widowControl w:val="0"/>
              <w:spacing w:after="0" w:line="240" w:lineRule="auto"/>
              <w:rPr>
                <w:rFonts w:ascii="Arial" w:hAnsi="Arial" w:cs="Arial"/>
                <w:b/>
                <w:bCs/>
                <w:i/>
                <w:iCs/>
                <w:color w:val="000080"/>
                <w:sz w:val="24"/>
                <w:szCs w:val="24"/>
              </w:rPr>
            </w:pPr>
            <w:r>
              <w:rPr>
                <w:rFonts w:ascii="Arial" w:hAnsi="Arial" w:cs="Arial"/>
                <w:b/>
                <w:bCs/>
                <w:i/>
                <w:iCs/>
                <w:color w:val="000080"/>
                <w:sz w:val="72"/>
                <w:szCs w:val="72"/>
              </w:rPr>
              <w:t>N</w:t>
            </w:r>
            <w:r>
              <w:rPr>
                <w:rFonts w:ascii="Arial" w:hAnsi="Arial" w:cs="Arial"/>
                <w:b/>
                <w:bCs/>
                <w:i/>
                <w:iCs/>
                <w:color w:val="000080"/>
                <w:sz w:val="48"/>
                <w:szCs w:val="48"/>
              </w:rPr>
              <w:t>ota integrativa</w:t>
            </w:r>
          </w:p>
          <w:p w:rsidR="00E8351D" w:rsidRDefault="00872F84">
            <w:pPr>
              <w:widowControl w:val="0"/>
              <w:spacing w:after="0" w:line="240" w:lineRule="auto"/>
              <w:rPr>
                <w:rFonts w:ascii="Arial" w:hAnsi="Arial" w:cs="Arial"/>
                <w:color w:val="000080"/>
                <w:sz w:val="24"/>
                <w:szCs w:val="24"/>
              </w:rPr>
            </w:pPr>
            <w:r>
              <w:rPr>
                <w:rFonts w:ascii="Arial" w:hAnsi="Arial" w:cs="Arial"/>
                <w:b/>
                <w:bCs/>
                <w:i/>
                <w:iCs/>
                <w:color w:val="000080"/>
                <w:sz w:val="48"/>
                <w:szCs w:val="48"/>
              </w:rPr>
              <w:t>al Bilancio</w:t>
            </w:r>
          </w:p>
        </w:tc>
      </w:tr>
      <w:tr w:rsidR="00E8351D">
        <w:tc>
          <w:tcPr>
            <w:tcW w:w="285" w:type="dxa"/>
            <w:tcBorders>
              <w:top w:val="single" w:sz="6" w:space="0" w:color="00000A"/>
              <w:left w:val="single" w:sz="6" w:space="0" w:color="00000A"/>
              <w:bottom w:val="single" w:sz="6" w:space="0" w:color="00000A"/>
            </w:tcBorders>
            <w:shd w:val="clear" w:color="auto" w:fill="D9D9D9"/>
            <w:tcMar>
              <w:left w:w="35" w:type="dxa"/>
            </w:tcMar>
          </w:tcPr>
          <w:p w:rsidR="00E8351D" w:rsidRDefault="00E8351D">
            <w:pPr>
              <w:widowControl w:val="0"/>
              <w:spacing w:after="0" w:line="240" w:lineRule="auto"/>
              <w:jc w:val="center"/>
              <w:rPr>
                <w:rFonts w:ascii="Arial" w:hAnsi="Arial" w:cs="Arial"/>
                <w:color w:val="000080"/>
                <w:sz w:val="24"/>
                <w:szCs w:val="24"/>
              </w:rPr>
            </w:pPr>
          </w:p>
        </w:tc>
        <w:tc>
          <w:tcPr>
            <w:tcW w:w="9329" w:type="dxa"/>
            <w:gridSpan w:val="2"/>
            <w:tcBorders>
              <w:top w:val="single" w:sz="6" w:space="0" w:color="00000A"/>
              <w:left w:val="single" w:sz="6" w:space="0" w:color="00000A"/>
              <w:bottom w:val="single" w:sz="6" w:space="0" w:color="00000A"/>
              <w:right w:val="single" w:sz="6" w:space="0" w:color="00000A"/>
            </w:tcBorders>
            <w:shd w:val="clear" w:color="auto" w:fill="D9D9D9"/>
            <w:tcMar>
              <w:left w:w="28" w:type="dxa"/>
              <w:right w:w="51" w:type="dxa"/>
            </w:tcMar>
            <w:vAlign w:val="bottom"/>
          </w:tcPr>
          <w:p w:rsidR="00E8351D" w:rsidRDefault="00E8351D">
            <w:pPr>
              <w:widowControl w:val="0"/>
              <w:spacing w:after="0" w:line="240" w:lineRule="auto"/>
              <w:ind w:left="226" w:right="283"/>
              <w:jc w:val="right"/>
              <w:rPr>
                <w:rFonts w:ascii="Arial" w:hAnsi="Arial" w:cs="Arial"/>
                <w:color w:val="000080"/>
                <w:sz w:val="24"/>
                <w:szCs w:val="24"/>
              </w:rPr>
            </w:pPr>
          </w:p>
          <w:p w:rsidR="00E8351D" w:rsidRDefault="00E8351D">
            <w:pPr>
              <w:widowControl w:val="0"/>
              <w:spacing w:after="0" w:line="240" w:lineRule="auto"/>
              <w:ind w:left="226" w:right="283"/>
              <w:jc w:val="right"/>
              <w:rPr>
                <w:rFonts w:ascii="Arial" w:hAnsi="Arial" w:cs="Arial"/>
                <w:color w:val="000080"/>
                <w:sz w:val="24"/>
                <w:szCs w:val="24"/>
              </w:rPr>
            </w:pPr>
          </w:p>
          <w:p w:rsidR="00E8351D" w:rsidRDefault="00E8351D">
            <w:pPr>
              <w:widowControl w:val="0"/>
              <w:spacing w:after="0" w:line="240" w:lineRule="auto"/>
              <w:ind w:left="226" w:right="283"/>
              <w:jc w:val="right"/>
              <w:rPr>
                <w:rFonts w:ascii="Arial" w:hAnsi="Arial" w:cs="Arial"/>
                <w:color w:val="000080"/>
                <w:sz w:val="24"/>
                <w:szCs w:val="24"/>
              </w:rPr>
            </w:pPr>
          </w:p>
          <w:p w:rsidR="00E8351D" w:rsidRDefault="00872F84">
            <w:pPr>
              <w:widowControl w:val="0"/>
              <w:spacing w:after="0" w:line="240" w:lineRule="auto"/>
              <w:ind w:left="226" w:right="283"/>
              <w:jc w:val="right"/>
              <w:rPr>
                <w:rFonts w:ascii="Arial" w:hAnsi="Arial" w:cs="Arial"/>
                <w:color w:val="000080"/>
                <w:sz w:val="24"/>
                <w:szCs w:val="24"/>
              </w:rPr>
            </w:pPr>
            <w:r>
              <w:rPr>
                <w:rFonts w:ascii="Arial" w:hAnsi="Arial" w:cs="Arial"/>
                <w:color w:val="000080"/>
                <w:sz w:val="36"/>
                <w:szCs w:val="36"/>
              </w:rPr>
              <w:t>Comune di ANDRIA (BT)</w:t>
            </w:r>
          </w:p>
          <w:p w:rsidR="00E8351D" w:rsidRDefault="00E8351D">
            <w:pPr>
              <w:widowControl w:val="0"/>
              <w:spacing w:after="0" w:line="240" w:lineRule="auto"/>
              <w:ind w:left="226" w:right="283"/>
              <w:jc w:val="right"/>
              <w:rPr>
                <w:rFonts w:ascii="Arial" w:hAnsi="Arial" w:cs="Arial"/>
                <w:color w:val="000080"/>
                <w:sz w:val="24"/>
                <w:szCs w:val="24"/>
              </w:rPr>
            </w:pPr>
          </w:p>
          <w:p w:rsidR="00E8351D" w:rsidRDefault="00E8351D">
            <w:pPr>
              <w:widowControl w:val="0"/>
              <w:spacing w:after="0" w:line="240" w:lineRule="auto"/>
              <w:ind w:left="226" w:right="283"/>
              <w:jc w:val="right"/>
              <w:rPr>
                <w:rFonts w:ascii="Arial" w:hAnsi="Arial" w:cs="Arial"/>
                <w:color w:val="000080"/>
                <w:sz w:val="24"/>
                <w:szCs w:val="24"/>
              </w:rPr>
            </w:pPr>
          </w:p>
        </w:tc>
      </w:tr>
    </w:tbl>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rPr>
          <w:rFonts w:ascii="Arial" w:hAnsi="Arial" w:cs="Arial"/>
          <w:b/>
          <w:bCs/>
          <w:sz w:val="24"/>
          <w:szCs w:val="24"/>
        </w:rPr>
      </w:pPr>
      <w:r>
        <w:br w:type="page"/>
      </w:r>
    </w:p>
    <w:tbl>
      <w:tblPr>
        <w:tblW w:w="10314" w:type="dxa"/>
        <w:tblLook w:val="0000" w:firstRow="0" w:lastRow="0" w:firstColumn="0" w:lastColumn="0" w:noHBand="0" w:noVBand="0"/>
      </w:tblPr>
      <w:tblGrid>
        <w:gridCol w:w="10314"/>
      </w:tblGrid>
      <w:tr w:rsidR="00E8351D">
        <w:tc>
          <w:tcPr>
            <w:tcW w:w="10314" w:type="dxa"/>
            <w:shd w:val="clear" w:color="auto" w:fill="D9D9D9"/>
          </w:tcPr>
          <w:p w:rsidR="00E8351D" w:rsidRDefault="00E8351D">
            <w:pPr>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bCs/>
                <w:sz w:val="24"/>
                <w:szCs w:val="24"/>
              </w:rPr>
            </w:pP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color w:val="000080"/>
                <w:sz w:val="24"/>
                <w:szCs w:val="24"/>
              </w:rPr>
            </w:pPr>
            <w:r>
              <w:rPr>
                <w:rFonts w:ascii="Arial" w:hAnsi="Arial" w:cs="Arial"/>
                <w:b/>
                <w:bCs/>
                <w:color w:val="000080"/>
                <w:sz w:val="24"/>
                <w:szCs w:val="24"/>
              </w:rPr>
              <w:t>PREMESSA</w:t>
            </w:r>
          </w:p>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color w:val="000080"/>
                <w:sz w:val="24"/>
                <w:szCs w:val="24"/>
              </w:rPr>
            </w:pPr>
          </w:p>
        </w:tc>
      </w:tr>
    </w:tbl>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rPr>
          <w:rFonts w:ascii="Arial" w:hAnsi="Arial" w:cs="Arial"/>
          <w:sz w:val="24"/>
          <w:szCs w:val="24"/>
        </w:rPr>
      </w:pPr>
    </w:p>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rPr>
          <w:rFonts w:ascii="Arial" w:hAnsi="Arial" w:cs="Arial"/>
        </w:rPr>
      </w:pP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rPr>
          <w:rFonts w:ascii="Arial" w:hAnsi="Arial" w:cs="Arial"/>
        </w:rPr>
      </w:pPr>
      <w:r>
        <w:rPr>
          <w:rFonts w:ascii="Arial" w:hAnsi="Arial" w:cs="Arial"/>
        </w:rPr>
        <w:tab/>
        <w:t>Signori Consiglieri,</w:t>
      </w:r>
    </w:p>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rPr>
          <w:rFonts w:ascii="Arial" w:hAnsi="Arial" w:cs="Arial"/>
        </w:rPr>
      </w:pPr>
    </w:p>
    <w:p w:rsidR="00E8351D" w:rsidRDefault="00872F84">
      <w:pPr>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rPr>
      </w:pPr>
      <w:r>
        <w:rPr>
          <w:rFonts w:ascii="Arial" w:hAnsi="Arial" w:cs="Arial"/>
        </w:rPr>
        <w:t>il presente documento, redatto ai sensi de</w:t>
      </w:r>
      <w:r>
        <w:rPr>
          <w:rFonts w:ascii="Arial" w:hAnsi="Arial" w:cs="Arial"/>
          <w:color w:val="000000"/>
        </w:rPr>
        <w:t>l punto 9.11 del Principio contabile applicato alla Programmazione (Allegato n.4/1 al D.Lgs. n. 118/2011),</w:t>
      </w:r>
      <w:r>
        <w:rPr>
          <w:rFonts w:ascii="Arial" w:hAnsi="Arial" w:cs="Arial"/>
        </w:rPr>
        <w:t xml:space="preserve"> costituisce la “</w:t>
      </w:r>
      <w:r>
        <w:rPr>
          <w:rFonts w:ascii="Arial" w:hAnsi="Arial" w:cs="Arial"/>
          <w:i/>
          <w:iCs/>
        </w:rPr>
        <w:t>Nota Integrativa al bilancio di previsione</w:t>
      </w:r>
      <w:r>
        <w:rPr>
          <w:rFonts w:ascii="Arial" w:hAnsi="Arial" w:cs="Arial"/>
        </w:rPr>
        <w:t>” 2017 ed è conforme, nei contenuti, alle previsi</w:t>
      </w:r>
      <w:r>
        <w:rPr>
          <w:rFonts w:ascii="Arial" w:hAnsi="Arial" w:cs="Arial"/>
        </w:rPr>
        <w:t>oni minime che il medesimo principio individua nei seguenti punti:</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i criteri di valutazione adottati per la formulazione delle previsioni;</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 xml:space="preserve">l’elenco analitico delle quote vincolate e accantonate del risultato di amministrazione presunto al 31 dicembre </w:t>
      </w:r>
      <w:r>
        <w:rPr>
          <w:rFonts w:ascii="Arial" w:hAnsi="Arial" w:cs="Arial"/>
        </w:rPr>
        <w:t>dell’esercizio precedente, distinguendo i vincoli derivanti dalla legge e dai principi contabili, dai trasferimenti, dai mutui e da altri finanziamenti, vincoli formalmente attribuiti dall’ente;</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l’elenco analitico degli utilizzi delle quote vincolate e acc</w:t>
      </w:r>
      <w:r>
        <w:rPr>
          <w:rFonts w:ascii="Arial" w:hAnsi="Arial" w:cs="Arial"/>
        </w:rPr>
        <w:t>antonate del risultato di amministrazione presunto, distinguendo i vincoli derivanti dalla legge e dai principi contabili, dai trasferimenti, dai mutui e da altri finanziamenti, vincoli formalmente attribuiti dall’ente;</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l’elenco degli interventi programmat</w:t>
      </w:r>
      <w:r>
        <w:rPr>
          <w:rFonts w:ascii="Arial" w:hAnsi="Arial" w:cs="Arial"/>
        </w:rPr>
        <w:t>i per spese di investimento finanziati col ricorso al debito e con le risorse disponibili;</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l’elenco delle garanzie principali o sussidiarie prestate dall’ente a favore di enti e di altri soggetti ai sensi delle leggi vigenti;</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gli oneri e gli impegni finanz</w:t>
      </w:r>
      <w:r>
        <w:rPr>
          <w:rFonts w:ascii="Arial" w:hAnsi="Arial" w:cs="Arial"/>
        </w:rPr>
        <w:t>iari stimati e stanziati in bilancio, derivanti da contratti relativi a strumenti finanziari derivati o da contratti di finanziamento che includono una componente derivata;</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l'elenco dei propri enti ed organismi strumentali, precisando che i relativi bilanc</w:t>
      </w:r>
      <w:r>
        <w:rPr>
          <w:rFonts w:ascii="Arial" w:hAnsi="Arial" w:cs="Arial"/>
        </w:rPr>
        <w:t>i consuntivi sono consultabili nel proprio sito internet fermo restando quanto previsto per gli enti locali dall'articolo 172, comma 1, lettera a) del Decreto Legislativo 18 agosto 2000, n. 267;</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l’elenco delle partecipazioni possedute con l’indicazione del</w:t>
      </w:r>
      <w:r>
        <w:rPr>
          <w:rFonts w:ascii="Arial" w:hAnsi="Arial" w:cs="Arial"/>
        </w:rPr>
        <w:t>la relativa quota percentuale;</w:t>
      </w:r>
    </w:p>
    <w:p w:rsidR="00E8351D" w:rsidRDefault="00872F84">
      <w:pPr>
        <w:numPr>
          <w:ilvl w:val="1"/>
          <w:numId w:val="3"/>
        </w:numPr>
        <w:tabs>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226"/>
        <w:jc w:val="both"/>
        <w:rPr>
          <w:rFonts w:ascii="Arial" w:hAnsi="Arial" w:cs="Arial"/>
        </w:rPr>
      </w:pPr>
      <w:r>
        <w:rPr>
          <w:rFonts w:ascii="Arial" w:hAnsi="Arial" w:cs="Arial"/>
        </w:rPr>
        <w:t>altre informazioni riguardanti le previsioni, richieste dalla legge o necessarie per l’interpretazione del bilancio.</w:t>
      </w:r>
    </w:p>
    <w:p w:rsidR="00E8351D" w:rsidRDefault="00E8351D">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rPr>
          <w:rFonts w:ascii="Times New Roman" w:hAnsi="Times New Roman" w:cs="Times New Roman"/>
          <w:sz w:val="20"/>
          <w:szCs w:val="20"/>
        </w:rPr>
      </w:pP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r>
      <w:r>
        <w:rPr>
          <w:rFonts w:ascii="Arial" w:hAnsi="Arial" w:cs="Arial"/>
        </w:rPr>
        <w:t>Per ottemperare in modo soddisfacente a queste disposizioni, abbiamo predisposto la presente nota integrativa nella quale ci proponiamo, oltre che rispondere ad un preciso obbligo normativo, di esplicitare le motivazioni che hanno portato alla determinazio</w:t>
      </w:r>
      <w:r>
        <w:rPr>
          <w:rFonts w:ascii="Arial" w:hAnsi="Arial" w:cs="Arial"/>
        </w:rPr>
        <w:t xml:space="preserve">ne degli stanziamenti di entrata e di spesa e di analizzare gli effetti prodotti dalle normative vigenti. </w:t>
      </w:r>
      <w:r>
        <w:rPr>
          <w:rFonts w:ascii="Arial" w:hAnsi="Arial" w:cs="Arial"/>
        </w:rPr>
        <w:tab/>
      </w:r>
      <w:r>
        <w:rPr>
          <w:rFonts w:ascii="Arial" w:hAnsi="Arial" w:cs="Arial"/>
        </w:rPr>
        <w:tab/>
        <w:t>Considerato, tra l'altro che la nuova struttura del bilancio si compone di numerosi altri documenti, trai quali il bilancio stesso e il Documento Un</w:t>
      </w:r>
      <w:r>
        <w:rPr>
          <w:rFonts w:ascii="Arial" w:hAnsi="Arial" w:cs="Arial"/>
        </w:rPr>
        <w:t>ico di Programmazione (D.U.P.), si cercherà di evitare duplicazioni di informazioni, già contenute in altri documenti.</w:t>
      </w:r>
    </w:p>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La nota integrativa completa, in tal modo, la finalità conoscitiva del sistema bilancio attraverso l'analisi degli stanziamenti delle t</w:t>
      </w:r>
      <w:r>
        <w:rPr>
          <w:rFonts w:ascii="Arial" w:hAnsi="Arial" w:cs="Arial"/>
        </w:rPr>
        <w:t>ipologie, per l'entrata, e dei programmi per la spesa, in analogia con l'unità di voto espressa dai consiglieri sul bilancio di previsione.</w:t>
      </w:r>
    </w:p>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right="226"/>
        <w:jc w:val="both"/>
        <w:rPr>
          <w:rFonts w:ascii="Arial" w:hAnsi="Arial" w:cs="Arial"/>
          <w:b/>
          <w:bCs/>
          <w:sz w:val="24"/>
          <w:szCs w:val="24"/>
        </w:rPr>
      </w:pPr>
    </w:p>
    <w:p w:rsidR="00E8351D" w:rsidRDefault="00872F84">
      <w:pPr>
        <w:widowControl w:val="0"/>
        <w:spacing w:after="0" w:line="240" w:lineRule="auto"/>
        <w:ind w:left="2267" w:right="2267"/>
        <w:rPr>
          <w:rFonts w:ascii="Arial" w:hAnsi="Arial" w:cs="Arial"/>
          <w:sz w:val="24"/>
          <w:szCs w:val="24"/>
        </w:rPr>
      </w:pPr>
      <w:r>
        <w:br w:type="page"/>
      </w:r>
    </w:p>
    <w:tbl>
      <w:tblPr>
        <w:tblW w:w="5735" w:type="dxa"/>
        <w:tblInd w:w="2348" w:type="dxa"/>
        <w:tblCellMar>
          <w:left w:w="36" w:type="dxa"/>
          <w:right w:w="36" w:type="dxa"/>
        </w:tblCellMar>
        <w:tblLook w:val="0000" w:firstRow="0" w:lastRow="0" w:firstColumn="0" w:lastColumn="0" w:noHBand="0" w:noVBand="0"/>
      </w:tblPr>
      <w:tblGrid>
        <w:gridCol w:w="5735"/>
      </w:tblGrid>
      <w:tr w:rsidR="00E8351D">
        <w:tc>
          <w:tcPr>
            <w:tcW w:w="5735" w:type="dxa"/>
            <w:shd w:val="clear" w:color="auto" w:fill="D9D9D9"/>
          </w:tcPr>
          <w:p w:rsidR="00E8351D" w:rsidRDefault="00E8351D">
            <w:pPr>
              <w:pageBreakBefore/>
              <w:widowControl w:val="0"/>
              <w:spacing w:after="0" w:line="240" w:lineRule="auto"/>
              <w:jc w:val="center"/>
              <w:rPr>
                <w:rFonts w:ascii="Arial" w:hAnsi="Arial" w:cs="Arial"/>
                <w:b/>
                <w:bCs/>
                <w:color w:val="000080"/>
                <w:sz w:val="72"/>
                <w:szCs w:val="72"/>
              </w:rPr>
            </w:pP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PRIMA</w:t>
            </w: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PARTE</w:t>
            </w:r>
          </w:p>
          <w:p w:rsidR="00E8351D" w:rsidRDefault="00E8351D">
            <w:pPr>
              <w:widowControl w:val="0"/>
              <w:spacing w:after="0" w:line="240" w:lineRule="auto"/>
              <w:jc w:val="center"/>
              <w:rPr>
                <w:rFonts w:ascii="Arial" w:hAnsi="Arial" w:cs="Arial"/>
                <w:color w:val="000080"/>
                <w:sz w:val="72"/>
                <w:szCs w:val="72"/>
              </w:rPr>
            </w:pPr>
          </w:p>
        </w:tc>
      </w:tr>
      <w:tr w:rsidR="00E8351D">
        <w:tc>
          <w:tcPr>
            <w:tcW w:w="5735" w:type="dxa"/>
            <w:shd w:val="clear" w:color="auto" w:fill="D9D9D9"/>
          </w:tcPr>
          <w:p w:rsidR="00E8351D" w:rsidRDefault="00E8351D">
            <w:pPr>
              <w:widowControl w:val="0"/>
              <w:spacing w:after="0" w:line="240" w:lineRule="auto"/>
              <w:rPr>
                <w:rFonts w:ascii="Arial" w:hAnsi="Arial" w:cs="Arial"/>
                <w:sz w:val="24"/>
                <w:szCs w:val="24"/>
              </w:rPr>
            </w:pPr>
          </w:p>
          <w:p w:rsidR="00E8351D" w:rsidRDefault="00872F84">
            <w:pPr>
              <w:widowControl w:val="0"/>
              <w:spacing w:after="0" w:line="240" w:lineRule="auto"/>
              <w:jc w:val="center"/>
              <w:rPr>
                <w:rFonts w:ascii="Arial" w:hAnsi="Arial" w:cs="Arial"/>
                <w:sz w:val="24"/>
                <w:szCs w:val="24"/>
              </w:rPr>
            </w:pPr>
            <w:r>
              <w:rPr>
                <w:noProof/>
                <w:lang w:eastAsia="it-IT"/>
              </w:rPr>
              <w:drawing>
                <wp:inline distT="0" distB="0" distL="0" distR="0">
                  <wp:extent cx="2943225" cy="1971675"/>
                  <wp:effectExtent l="0" t="0" r="0" b="0"/>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5"/>
                          <pic:cNvPicPr>
                            <a:picLocks noChangeAspect="1" noChangeArrowheads="1"/>
                          </pic:cNvPicPr>
                        </pic:nvPicPr>
                        <pic:blipFill>
                          <a:blip r:embed="rId7"/>
                          <a:stretch>
                            <a:fillRect/>
                          </a:stretch>
                        </pic:blipFill>
                        <pic:spPr bwMode="auto">
                          <a:xfrm>
                            <a:off x="0" y="0"/>
                            <a:ext cx="2943225" cy="1971675"/>
                          </a:xfrm>
                          <a:prstGeom prst="rect">
                            <a:avLst/>
                          </a:prstGeom>
                        </pic:spPr>
                      </pic:pic>
                    </a:graphicData>
                  </a:graphic>
                </wp:inline>
              </w:drawing>
            </w: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jc w:val="center"/>
              <w:rPr>
                <w:rFonts w:ascii="Arial" w:hAnsi="Arial" w:cs="Arial"/>
                <w:color w:val="000080"/>
                <w:sz w:val="24"/>
                <w:szCs w:val="24"/>
              </w:rPr>
            </w:pPr>
          </w:p>
        </w:tc>
      </w:tr>
      <w:tr w:rsidR="00E8351D">
        <w:tc>
          <w:tcPr>
            <w:tcW w:w="5735" w:type="dxa"/>
            <w:shd w:val="clear" w:color="auto" w:fill="D9D9D9"/>
          </w:tcPr>
          <w:p w:rsidR="00E8351D" w:rsidRDefault="00E8351D">
            <w:pPr>
              <w:widowControl w:val="0"/>
              <w:spacing w:after="0" w:line="240" w:lineRule="auto"/>
              <w:jc w:val="center"/>
              <w:rPr>
                <w:rFonts w:ascii="Arial" w:hAnsi="Arial" w:cs="Arial"/>
                <w:color w:val="000080"/>
                <w:sz w:val="72"/>
                <w:szCs w:val="72"/>
              </w:rPr>
            </w:pPr>
          </w:p>
          <w:p w:rsidR="00E8351D" w:rsidRDefault="00872F84">
            <w:pPr>
              <w:widowControl w:val="0"/>
              <w:spacing w:after="0" w:line="240" w:lineRule="auto"/>
              <w:jc w:val="center"/>
              <w:rPr>
                <w:rFonts w:ascii="Arial" w:hAnsi="Arial" w:cs="Arial"/>
                <w:color w:val="000080"/>
                <w:sz w:val="72"/>
                <w:szCs w:val="72"/>
              </w:rPr>
            </w:pPr>
            <w:r>
              <w:rPr>
                <w:rFonts w:ascii="Arial" w:hAnsi="Arial" w:cs="Arial"/>
                <w:color w:val="000080"/>
                <w:sz w:val="72"/>
                <w:szCs w:val="72"/>
              </w:rPr>
              <w:t>ANALISI DELLE ENTRATE</w:t>
            </w:r>
          </w:p>
          <w:p w:rsidR="00E8351D" w:rsidRDefault="00E8351D">
            <w:pPr>
              <w:widowControl w:val="0"/>
              <w:spacing w:after="0" w:line="240" w:lineRule="auto"/>
              <w:jc w:val="center"/>
              <w:rPr>
                <w:rFonts w:ascii="Arial" w:hAnsi="Arial" w:cs="Arial"/>
                <w:color w:val="000080"/>
                <w:sz w:val="72"/>
                <w:szCs w:val="72"/>
              </w:rPr>
            </w:pPr>
          </w:p>
        </w:tc>
      </w:tr>
    </w:tbl>
    <w:p w:rsidR="00E8351D" w:rsidRDefault="00E8351D">
      <w:pPr>
        <w:widowControl w:val="0"/>
        <w:spacing w:after="0" w:line="240" w:lineRule="auto"/>
        <w:ind w:left="2267" w:right="2267"/>
        <w:rPr>
          <w:rFonts w:ascii="Arial" w:hAnsi="Arial" w:cs="Arial"/>
          <w:sz w:val="24"/>
          <w:szCs w:val="24"/>
        </w:rPr>
      </w:pPr>
    </w:p>
    <w:p w:rsidR="00E8351D" w:rsidRDefault="00E8351D">
      <w:pPr>
        <w:widowControl w:val="0"/>
        <w:spacing w:after="0" w:line="240" w:lineRule="auto"/>
        <w:ind w:left="2267" w:right="2267"/>
        <w:rPr>
          <w:rFonts w:ascii="Arial" w:hAnsi="Arial" w:cs="Arial"/>
          <w:sz w:val="24"/>
          <w:szCs w:val="24"/>
        </w:rPr>
      </w:pPr>
    </w:p>
    <w:p w:rsidR="00E8351D" w:rsidRDefault="00872F84">
      <w:pPr>
        <w:widowControl w:val="0"/>
        <w:spacing w:after="0" w:line="240" w:lineRule="auto"/>
        <w:ind w:left="1133" w:right="226"/>
        <w:rPr>
          <w:rFonts w:ascii="Arial" w:hAnsi="Arial" w:cs="Arial"/>
          <w:sz w:val="24"/>
          <w:szCs w:val="24"/>
        </w:rPr>
      </w:pPr>
      <w:r>
        <w:br w:type="page"/>
      </w:r>
    </w:p>
    <w:tbl>
      <w:tblPr>
        <w:tblW w:w="10314" w:type="dxa"/>
        <w:tblLook w:val="0000" w:firstRow="0" w:lastRow="0" w:firstColumn="0" w:lastColumn="0" w:noHBand="0" w:noVBand="0"/>
      </w:tblPr>
      <w:tblGrid>
        <w:gridCol w:w="10314"/>
      </w:tblGrid>
      <w:tr w:rsidR="00E8351D">
        <w:tc>
          <w:tcPr>
            <w:tcW w:w="10314" w:type="dxa"/>
            <w:shd w:val="clear" w:color="auto" w:fill="D9D9D9"/>
          </w:tcPr>
          <w:p w:rsidR="00E8351D" w:rsidRDefault="00E8351D">
            <w:pPr>
              <w:pageBreakBefore/>
              <w:widowControl w:val="0"/>
              <w:spacing w:after="0" w:line="240" w:lineRule="auto"/>
              <w:rPr>
                <w:rFonts w:ascii="Arial" w:hAnsi="Arial" w:cs="Arial"/>
                <w:sz w:val="24"/>
                <w:szCs w:val="24"/>
              </w:rPr>
            </w:pPr>
          </w:p>
          <w:p w:rsidR="00E8351D" w:rsidRDefault="00872F84">
            <w:pPr>
              <w:widowControl w:val="0"/>
              <w:spacing w:after="0" w:line="240" w:lineRule="auto"/>
              <w:rPr>
                <w:rFonts w:ascii="Arial" w:hAnsi="Arial" w:cs="Arial"/>
                <w:color w:val="000080"/>
                <w:sz w:val="24"/>
                <w:szCs w:val="24"/>
              </w:rPr>
            </w:pPr>
            <w:r>
              <w:rPr>
                <w:rFonts w:ascii="Arial" w:hAnsi="Arial" w:cs="Arial"/>
                <w:b/>
                <w:bCs/>
                <w:color w:val="000080"/>
                <w:sz w:val="24"/>
                <w:szCs w:val="24"/>
              </w:rPr>
              <w:t>1 ANALISI DELLE ENTRATE</w:t>
            </w:r>
          </w:p>
          <w:p w:rsidR="00E8351D" w:rsidRDefault="00E8351D">
            <w:pPr>
              <w:widowControl w:val="0"/>
              <w:spacing w:after="0" w:line="240" w:lineRule="auto"/>
              <w:rPr>
                <w:rFonts w:ascii="Arial" w:hAnsi="Arial" w:cs="Arial"/>
                <w:color w:val="000080"/>
                <w:sz w:val="24"/>
                <w:szCs w:val="24"/>
              </w:rPr>
            </w:pPr>
          </w:p>
        </w:tc>
      </w:tr>
    </w:tbl>
    <w:p w:rsidR="00E8351D" w:rsidRDefault="00E8351D">
      <w:pPr>
        <w:widowControl w:val="0"/>
        <w:spacing w:after="0" w:line="240" w:lineRule="auto"/>
        <w:ind w:left="1133" w:right="226"/>
        <w:rPr>
          <w:rFonts w:ascii="Arial" w:hAnsi="Arial" w:cs="Arial"/>
          <w:sz w:val="24"/>
          <w:szCs w:val="24"/>
        </w:rPr>
      </w:pPr>
    </w:p>
    <w:p w:rsidR="00E8351D" w:rsidRDefault="00872F84">
      <w:pPr>
        <w:widowControl w:val="0"/>
        <w:tabs>
          <w:tab w:val="left" w:pos="1133"/>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 xml:space="preserve">L'ente locale, per sua natura, è </w:t>
      </w:r>
      <w:r>
        <w:rPr>
          <w:rFonts w:ascii="Arial" w:hAnsi="Arial" w:cs="Arial"/>
        </w:rPr>
        <w:t>caratterizzato dall'esigenza di massimizzare la soddisfazione degli utenti-cittadini attraverso l'erogazione di servizi che trovano la copertura finanziaria in una antecedente attività di acquisizione delle risorse.</w:t>
      </w:r>
    </w:p>
    <w:p w:rsidR="00E8351D" w:rsidRDefault="00872F84">
      <w:pPr>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rPr>
      </w:pPr>
      <w:r>
        <w:rPr>
          <w:rFonts w:ascii="Arial" w:hAnsi="Arial" w:cs="Arial"/>
        </w:rPr>
        <w:tab/>
        <w:t>L'attività di ricerca delle fonti di fi</w:t>
      </w:r>
      <w:r>
        <w:rPr>
          <w:rFonts w:ascii="Arial" w:hAnsi="Arial" w:cs="Arial"/>
        </w:rPr>
        <w:t>nanziamento, sia per la copertura della spesa corrente che per quella d'investimento, ha costituito, pertanto, il primo momento dell'attività di programmazione del nostro ente.</w:t>
      </w:r>
    </w:p>
    <w:p w:rsidR="00E8351D" w:rsidRDefault="00872F84">
      <w:pPr>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rPr>
      </w:pPr>
      <w:r>
        <w:rPr>
          <w:rFonts w:ascii="Arial" w:hAnsi="Arial" w:cs="Arial"/>
        </w:rPr>
        <w:tab/>
        <w:t>Da essa e dall'ammontare delle risorse che sono state preventivate, distinte a</w:t>
      </w:r>
      <w:r>
        <w:rPr>
          <w:rFonts w:ascii="Arial" w:hAnsi="Arial" w:cs="Arial"/>
        </w:rPr>
        <w:t xml:space="preserve"> loro volta per natura e caratteristiche, sono infatti conseguite le successive previsioni di spesa.</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rPr>
      </w:pPr>
      <w:r>
        <w:rPr>
          <w:rFonts w:ascii="Times New Roman" w:hAnsi="Times New Roman" w:cs="Times New Roman"/>
        </w:rPr>
        <w:tab/>
      </w:r>
      <w:r>
        <w:rPr>
          <w:rFonts w:ascii="Arial" w:hAnsi="Arial" w:cs="Arial"/>
        </w:rPr>
        <w:t>Per questa ragione l'analisi del documento contabile si sviluppa prendendo in considerazione dapprima le entrate e cercando di evidenziare le modalità con</w:t>
      </w:r>
      <w:r>
        <w:rPr>
          <w:rFonts w:ascii="Arial" w:hAnsi="Arial" w:cs="Arial"/>
        </w:rPr>
        <w:t xml:space="preserve"> cui esse finanziano la spesa, al fine di perseguire gli obiettivi programmati.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 xml:space="preserve">A tal fine, l'analisi delle entrate si svilupperà partendo dal significato e dal contenuto dei titoli, per poi approfondirne le varie categorie che rispettivamente li </w:t>
      </w:r>
      <w:r>
        <w:rPr>
          <w:rFonts w:ascii="Arial" w:hAnsi="Arial" w:cs="Arial"/>
        </w:rPr>
        <w:t>compongono.</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Si ricorda a riguardo che il principio contabile applicato alla programmazione, trattando della struttura del bilancio di previsione finanziario, precisa:</w:t>
      </w:r>
      <w:r>
        <w:rPr>
          <w:rFonts w:ascii="Arial" w:hAnsi="Arial" w:cs="Arial"/>
          <w:b/>
          <w:bCs/>
          <w:i/>
          <w:iCs/>
        </w:rPr>
        <w:t>“</w:t>
      </w:r>
      <w:r>
        <w:rPr>
          <w:rFonts w:ascii="Arial" w:hAnsi="Arial" w:cs="Arial"/>
          <w:i/>
          <w:iCs/>
        </w:rPr>
        <w:t>Il bilancio di previsione espone separatamente l'andamento delle entrate e delle spese ri</w:t>
      </w:r>
      <w:r>
        <w:rPr>
          <w:rFonts w:ascii="Arial" w:hAnsi="Arial" w:cs="Arial"/>
          <w:i/>
          <w:iCs/>
        </w:rPr>
        <w:t>ferite ad un orizzonte temporale di almeno un triennio, definito in base alla legislazione statale e regionale vigente e al documento di programmazione dell’ente, ed è elaborato in termini di competenza finanziaria e di cassa con riferimento al primo eserc</w:t>
      </w:r>
      <w:r>
        <w:rPr>
          <w:rFonts w:ascii="Arial" w:hAnsi="Arial" w:cs="Arial"/>
          <w:i/>
          <w:iCs/>
        </w:rPr>
        <w:t xml:space="preserve">izio e in termini di competenza finanziaria per gli esercizi successivi." </w:t>
      </w:r>
      <w:r>
        <w:rPr>
          <w:rFonts w:ascii="Arial" w:hAnsi="Arial" w:cs="Arial"/>
        </w:rPr>
        <w:t>(cfr. punto 9.4 del principio contabile n.1)</w:t>
      </w:r>
    </w:p>
    <w:p w:rsidR="00E8351D" w:rsidRDefault="00E8351D">
      <w:pPr>
        <w:widowControl w:val="0"/>
        <w:spacing w:after="0" w:line="240" w:lineRule="auto"/>
        <w:ind w:left="1133" w:right="226"/>
        <w:rPr>
          <w:rFonts w:ascii="Arial" w:hAnsi="Arial" w:cs="Arial"/>
          <w:sz w:val="24"/>
          <w:szCs w:val="24"/>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color w:val="000080"/>
                <w:sz w:val="24"/>
                <w:szCs w:val="24"/>
              </w:rPr>
            </w:pPr>
            <w:r>
              <w:rPr>
                <w:rFonts w:ascii="Arial" w:hAnsi="Arial" w:cs="Arial"/>
                <w:b/>
                <w:bCs/>
                <w:color w:val="000080"/>
              </w:rPr>
              <w:t>1.1 Analisi per titoli</w:t>
            </w:r>
          </w:p>
        </w:tc>
      </w:tr>
    </w:tbl>
    <w:p w:rsidR="00E8351D" w:rsidRDefault="00E8351D">
      <w:pPr>
        <w:widowControl w:val="0"/>
        <w:spacing w:after="0" w:line="240" w:lineRule="auto"/>
        <w:ind w:left="1133" w:right="226"/>
        <w:rPr>
          <w:rFonts w:ascii="Arial" w:hAnsi="Arial" w:cs="Arial"/>
          <w:sz w:val="24"/>
          <w:szCs w:val="24"/>
        </w:rPr>
      </w:pPr>
    </w:p>
    <w:p w:rsidR="00E8351D" w:rsidRDefault="00872F84">
      <w:pPr>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rPr>
      </w:pPr>
      <w:r>
        <w:rPr>
          <w:rFonts w:ascii="Times New Roman" w:hAnsi="Times New Roman" w:cs="Times New Roman"/>
          <w:b/>
          <w:bCs/>
          <w:sz w:val="24"/>
          <w:szCs w:val="24"/>
        </w:rPr>
        <w:tab/>
      </w:r>
      <w:r>
        <w:rPr>
          <w:rFonts w:ascii="Arial" w:hAnsi="Arial" w:cs="Arial"/>
        </w:rPr>
        <w:t xml:space="preserve">Ai fini dell’analisi delle entrate del bilancio seguiremo lo schema logico proposto dal legislatore partendo, </w:t>
      </w:r>
      <w:r>
        <w:rPr>
          <w:rFonts w:ascii="Arial" w:hAnsi="Arial" w:cs="Arial"/>
        </w:rPr>
        <w:t>cioè, dalla lettura delle aggregazioni di massimo livello (titoli) e, progressivamente, cercando di comprendere come i valori complessivi siano stati determinati e come, anche attraverso il confronto delle previsioni del triennio, l'amministrazione abbia m</w:t>
      </w:r>
      <w:r>
        <w:rPr>
          <w:rFonts w:ascii="Arial" w:hAnsi="Arial" w:cs="Arial"/>
        </w:rPr>
        <w:t>odificato i propri indirizzi di governo.</w:t>
      </w:r>
    </w:p>
    <w:p w:rsidR="00E8351D" w:rsidRDefault="00872F84">
      <w:pPr>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rPr>
      </w:pPr>
      <w:r>
        <w:rPr>
          <w:rFonts w:ascii="Arial" w:hAnsi="Arial" w:cs="Arial"/>
        </w:rPr>
        <w:tab/>
        <w:t xml:space="preserve">La prima classificazione delle entrate è quella che prevede la loro divisione in titoli che identificano la natura e la fonte di provenienza delle entrate. In particolare: </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Arial" w:hAnsi="Arial" w:cs="Arial"/>
        </w:rPr>
      </w:pPr>
      <w:r>
        <w:rPr>
          <w:rFonts w:ascii="Arial" w:hAnsi="Arial" w:cs="Arial"/>
        </w:rPr>
        <w:t>a) il "</w:t>
      </w:r>
      <w:r>
        <w:rPr>
          <w:rFonts w:ascii="Arial" w:hAnsi="Arial" w:cs="Arial"/>
          <w:b/>
          <w:bCs/>
          <w:i/>
          <w:iCs/>
        </w:rPr>
        <w:t>Titolo 1</w:t>
      </w:r>
      <w:r>
        <w:rPr>
          <w:rFonts w:ascii="Arial" w:hAnsi="Arial" w:cs="Arial"/>
        </w:rPr>
        <w:t xml:space="preserve">" comprende le entrate </w:t>
      </w:r>
      <w:r>
        <w:rPr>
          <w:rFonts w:ascii="Arial" w:hAnsi="Arial" w:cs="Arial"/>
        </w:rPr>
        <w:t>aventi natura tributaria. Si tratta di entrate per le quali l'ente ha una certa discrezionalità impositiva, che si manifesta attraverso l’approvazione di appositi regolamenti, nel rispetto della normativa-quadro vigente;</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Arial" w:hAnsi="Arial" w:cs="Arial"/>
        </w:rPr>
      </w:pPr>
      <w:r>
        <w:rPr>
          <w:rFonts w:ascii="Arial" w:hAnsi="Arial" w:cs="Arial"/>
        </w:rPr>
        <w:t>b) il "</w:t>
      </w:r>
      <w:r>
        <w:rPr>
          <w:rFonts w:ascii="Arial" w:hAnsi="Arial" w:cs="Arial"/>
          <w:b/>
          <w:bCs/>
          <w:i/>
          <w:iCs/>
        </w:rPr>
        <w:t>Titolo 2</w:t>
      </w:r>
      <w:r>
        <w:rPr>
          <w:rFonts w:ascii="Arial" w:hAnsi="Arial" w:cs="Arial"/>
        </w:rPr>
        <w:t>" vede iscritte le e</w:t>
      </w:r>
      <w:r>
        <w:rPr>
          <w:rFonts w:ascii="Arial" w:hAnsi="Arial" w:cs="Arial"/>
        </w:rPr>
        <w:t>ntrate provenienti da trasferimenti dello Stato e di altri enti del settore pubblico allargato oltre che da terzi, finalizzate alla gestione corrente, cioè ad assicurare l'ordinaria attività dell'ente;</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Arial" w:hAnsi="Arial" w:cs="Arial"/>
        </w:rPr>
      </w:pPr>
      <w:r>
        <w:rPr>
          <w:rFonts w:ascii="Arial" w:hAnsi="Arial" w:cs="Arial"/>
        </w:rPr>
        <w:t>c) il "</w:t>
      </w:r>
      <w:r>
        <w:rPr>
          <w:rFonts w:ascii="Arial" w:hAnsi="Arial" w:cs="Arial"/>
          <w:b/>
          <w:bCs/>
          <w:i/>
          <w:iCs/>
        </w:rPr>
        <w:t>Titolo 3</w:t>
      </w:r>
      <w:r>
        <w:rPr>
          <w:rFonts w:ascii="Arial" w:hAnsi="Arial" w:cs="Arial"/>
        </w:rPr>
        <w:t>" sintetizza tutte le entrate di natura</w:t>
      </w:r>
      <w:r>
        <w:rPr>
          <w:rFonts w:ascii="Arial" w:hAnsi="Arial" w:cs="Arial"/>
        </w:rPr>
        <w:t xml:space="preserve"> extratributaria, costituite, per la maggior parte, da proventi di natura patrimoniale propria o dai servizi pubblici erogati;</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Arial" w:hAnsi="Arial" w:cs="Arial"/>
        </w:rPr>
      </w:pPr>
      <w:r>
        <w:rPr>
          <w:rFonts w:ascii="Arial" w:hAnsi="Arial" w:cs="Arial"/>
        </w:rPr>
        <w:t>d) il "</w:t>
      </w:r>
      <w:r>
        <w:rPr>
          <w:rFonts w:ascii="Arial" w:hAnsi="Arial" w:cs="Arial"/>
          <w:b/>
          <w:bCs/>
          <w:i/>
          <w:iCs/>
        </w:rPr>
        <w:t>Titolo 4</w:t>
      </w:r>
      <w:r>
        <w:rPr>
          <w:rFonts w:ascii="Arial" w:hAnsi="Arial" w:cs="Arial"/>
        </w:rPr>
        <w:t xml:space="preserve">" è costituito da entrate derivanti da trasferimenti dello Stato o di altri enti del settore pubblico allargato e </w:t>
      </w:r>
      <w:r>
        <w:rPr>
          <w:rFonts w:ascii="Arial" w:hAnsi="Arial" w:cs="Arial"/>
        </w:rPr>
        <w:t>da terzi che, a differenza di quelli riportati nel Titolo II, sono diretti a finanziare le spese d'investimento;</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Arial" w:hAnsi="Arial" w:cs="Arial"/>
        </w:rPr>
      </w:pPr>
      <w:r>
        <w:rPr>
          <w:rFonts w:ascii="Arial" w:hAnsi="Arial" w:cs="Arial"/>
        </w:rPr>
        <w:t>e) il "</w:t>
      </w:r>
      <w:r>
        <w:rPr>
          <w:rFonts w:ascii="Arial" w:hAnsi="Arial" w:cs="Arial"/>
          <w:b/>
          <w:bCs/>
          <w:i/>
          <w:iCs/>
        </w:rPr>
        <w:t>Titolo 5</w:t>
      </w:r>
      <w:r>
        <w:rPr>
          <w:rFonts w:ascii="Arial" w:hAnsi="Arial" w:cs="Arial"/>
        </w:rPr>
        <w:t>" propone le entrate ottenute da soggetti terzi a seguito di alienazioni di attività finanziarie e la riscossione crediti a brev</w:t>
      </w:r>
      <w:r>
        <w:rPr>
          <w:rFonts w:ascii="Arial" w:hAnsi="Arial" w:cs="Arial"/>
        </w:rPr>
        <w:t>e e a medio lungo termine;</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Arial" w:hAnsi="Arial" w:cs="Arial"/>
        </w:rPr>
      </w:pPr>
      <w:r>
        <w:rPr>
          <w:rFonts w:ascii="Arial" w:hAnsi="Arial" w:cs="Arial"/>
        </w:rPr>
        <w:t>f) il "</w:t>
      </w:r>
      <w:r>
        <w:rPr>
          <w:rFonts w:ascii="Arial" w:hAnsi="Arial" w:cs="Arial"/>
          <w:b/>
          <w:bCs/>
          <w:i/>
          <w:iCs/>
        </w:rPr>
        <w:t>Titolo 6</w:t>
      </w:r>
      <w:r>
        <w:rPr>
          <w:rFonts w:ascii="Arial" w:hAnsi="Arial" w:cs="Arial"/>
        </w:rPr>
        <w:t>" propone le entrate ottenute da soggetti terzi sotto forme diverse di indebitamento a medio e lungo termine;</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Arial" w:hAnsi="Arial" w:cs="Arial"/>
        </w:rPr>
      </w:pPr>
      <w:r>
        <w:rPr>
          <w:rFonts w:ascii="Arial" w:hAnsi="Arial" w:cs="Arial"/>
        </w:rPr>
        <w:t>g) il "</w:t>
      </w:r>
      <w:r>
        <w:rPr>
          <w:rFonts w:ascii="Arial" w:hAnsi="Arial" w:cs="Arial"/>
          <w:b/>
          <w:bCs/>
          <w:i/>
          <w:iCs/>
        </w:rPr>
        <w:t>Titolo 7</w:t>
      </w:r>
      <w:r>
        <w:rPr>
          <w:rFonts w:ascii="Arial" w:hAnsi="Arial" w:cs="Arial"/>
        </w:rPr>
        <w:t xml:space="preserve">" propone le entrate ottenute dal tesoriere sotto forme diverse di indebitamento a breve </w:t>
      </w:r>
      <w:r>
        <w:rPr>
          <w:rFonts w:ascii="Arial" w:hAnsi="Arial" w:cs="Arial"/>
        </w:rPr>
        <w:t>termine per anticipazioni di cassa;</w:t>
      </w:r>
    </w:p>
    <w:p w:rsidR="00E8351D" w:rsidRDefault="00872F84">
      <w:pPr>
        <w:tabs>
          <w:tab w:val="left" w:pos="708"/>
          <w:tab w:val="left" w:pos="1417"/>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417" w:right="226" w:hanging="284"/>
        <w:jc w:val="both"/>
        <w:rPr>
          <w:rFonts w:ascii="Times New Roman" w:hAnsi="Times New Roman" w:cs="Times New Roman"/>
          <w:sz w:val="24"/>
          <w:szCs w:val="24"/>
        </w:rPr>
      </w:pPr>
      <w:r>
        <w:rPr>
          <w:rFonts w:ascii="Arial" w:hAnsi="Arial" w:cs="Arial"/>
        </w:rPr>
        <w:t>h) il "</w:t>
      </w:r>
      <w:r>
        <w:rPr>
          <w:rFonts w:ascii="Arial" w:hAnsi="Arial" w:cs="Arial"/>
          <w:b/>
          <w:bCs/>
          <w:i/>
          <w:iCs/>
        </w:rPr>
        <w:t>Titolo 9</w:t>
      </w:r>
      <w:r>
        <w:rPr>
          <w:rFonts w:ascii="Arial" w:hAnsi="Arial" w:cs="Arial"/>
        </w:rPr>
        <w:t>" comprende le entrate derivanti da operazioni e/o servizi erogati per conto di terzi (detta voce non trova evidenza nelle tabelle che seguono).</w:t>
      </w:r>
      <w:r>
        <w:br w:type="page"/>
      </w:r>
    </w:p>
    <w:tbl>
      <w:tblPr>
        <w:tblW w:w="10279" w:type="dxa"/>
        <w:tblInd w:w="-15" w:type="dxa"/>
        <w:tblBorders>
          <w:top w:val="single" w:sz="8" w:space="0" w:color="00000A"/>
          <w:left w:val="single" w:sz="6" w:space="0" w:color="00000A"/>
          <w:bottom w:val="single" w:sz="8" w:space="0" w:color="00000A"/>
          <w:right w:val="single" w:sz="6" w:space="0" w:color="00000A"/>
          <w:insideH w:val="single" w:sz="8" w:space="0" w:color="00000A"/>
          <w:insideV w:val="single" w:sz="6" w:space="0" w:color="00000A"/>
        </w:tblBorders>
        <w:tblCellMar>
          <w:top w:w="170" w:type="dxa"/>
          <w:left w:w="35" w:type="dxa"/>
          <w:bottom w:w="170" w:type="dxa"/>
          <w:right w:w="51" w:type="dxa"/>
        </w:tblCellMar>
        <w:tblLook w:val="0000" w:firstRow="0" w:lastRow="0" w:firstColumn="0" w:lastColumn="0" w:noHBand="0" w:noVBand="0"/>
      </w:tblPr>
      <w:tblGrid>
        <w:gridCol w:w="5119"/>
        <w:gridCol w:w="1742"/>
        <w:gridCol w:w="1700"/>
        <w:gridCol w:w="1718"/>
      </w:tblGrid>
      <w:tr w:rsidR="00E8351D">
        <w:tc>
          <w:tcPr>
            <w:tcW w:w="5118"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pageBreakBefore/>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lastRenderedPageBreak/>
              <w:t>ENTRATE</w:t>
            </w:r>
          </w:p>
        </w:tc>
        <w:tc>
          <w:tcPr>
            <w:tcW w:w="1742"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2017</w:t>
            </w:r>
          </w:p>
        </w:tc>
        <w:tc>
          <w:tcPr>
            <w:tcW w:w="1700"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2018</w:t>
            </w:r>
          </w:p>
        </w:tc>
        <w:tc>
          <w:tcPr>
            <w:tcW w:w="1718"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2019</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rPr>
                <w:rFonts w:ascii="Arial" w:hAnsi="Arial" w:cs="Arial"/>
                <w:sz w:val="12"/>
                <w:szCs w:val="12"/>
              </w:rPr>
            </w:pP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 xml:space="preserve">TITOLO 1: Entrate correnti di </w:t>
            </w:r>
            <w:r>
              <w:rPr>
                <w:rFonts w:ascii="Arial" w:hAnsi="Arial" w:cs="Arial"/>
                <w:b/>
                <w:bCs/>
                <w:sz w:val="14"/>
                <w:szCs w:val="14"/>
              </w:rPr>
              <w:t>natura tributaria, contributiva e perequativa</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101: Imposte, tasse e proventi assimilati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55.600.945,87</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57.845.571,18</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58.645.571,18</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103: Tributi devoluti e regolati alle autonomie speciali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 xml:space="preserve">Tipologia 104: </w:t>
            </w:r>
            <w:r>
              <w:rPr>
                <w:rFonts w:ascii="Arial" w:hAnsi="Arial" w:cs="Arial"/>
                <w:b/>
                <w:bCs/>
                <w:sz w:val="14"/>
                <w:szCs w:val="14"/>
              </w:rPr>
              <w:t>Compartecipazioni di tributi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301: Fondi perequativi  da Amministrazioni Centrali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302: Fondi perequativi  dalla Regione o Provincia autonoma (solo per Enti locali)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 xml:space="preserve">Totale TITOLO 1 (10000): Entrate </w:t>
            </w:r>
            <w:r>
              <w:rPr>
                <w:rFonts w:ascii="Arial" w:hAnsi="Arial" w:cs="Arial"/>
                <w:b/>
                <w:bCs/>
                <w:sz w:val="14"/>
                <w:szCs w:val="14"/>
              </w:rPr>
              <w:t>correnti di natura tributaria, contributiva e perequativa</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55.600.945,87</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57.845.571,18</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58.645.571,18</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TITOLO 2: Trasferimenti correnti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101: Trasferimenti correnti da Amministrazioni pubbliche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5.748.714,62</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4.958.074,11</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4.953.074,11</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 xml:space="preserve">Tipologia </w:t>
            </w:r>
            <w:r>
              <w:rPr>
                <w:rFonts w:ascii="Arial" w:hAnsi="Arial" w:cs="Arial"/>
                <w:b/>
                <w:bCs/>
                <w:sz w:val="14"/>
                <w:szCs w:val="14"/>
              </w:rPr>
              <w:t>102: Trasferimenti correnti da Famiglie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103: Trasferimenti correnti da Imprese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104: Trasferimenti correnti da Istituzioni Sociali Private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105: Trasferimenti correnti dall'Unione europea e</w:t>
            </w:r>
            <w:r>
              <w:rPr>
                <w:rFonts w:ascii="Arial" w:hAnsi="Arial" w:cs="Arial"/>
                <w:b/>
                <w:bCs/>
                <w:sz w:val="14"/>
                <w:szCs w:val="14"/>
              </w:rPr>
              <w:t xml:space="preserve"> dal Resto del Mondo</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2 (20000): Trasferimenti correnti</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5.748.714,62</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4.958.074,11</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4.953.074,11</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TITOLO 3: Entrate extratributarie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100: Vendita di beni e servizi e proventi derivanti dalla gestione dei beni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5.122.961,00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4.385.105,00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4.385.105,00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200: Proventi derivanti dall'attività di controllo e repressione delle irregolarità e degli illeciti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1.600.000,00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1.600.000,00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1.600.000,00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300: Interessi attivi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70.000,00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70.000,00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70.000,00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400: Altre entrate da redditi da capitale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20.014,00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20.014,00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20.014,00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500: Rimborsi e altre entrate correnti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2.317.000,00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2.317.000,00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2.317.000,00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3 (30000): Entrate extratributarie</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9.129.975,00</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8.392.119,00</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8.392.119,00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TITOLO 4: Entrate in conto capitale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100: Tributi in conto capitale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lastRenderedPageBreak/>
              <w:t>Tipologia 200: Contributi agli investimenti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22871863,20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6300000,00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7700000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300: Altri trasferimenti in conto capitale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3170000,00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400: Entrate da alienazione di beni materiali e immateriali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5511864,40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1795000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1675000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500: Altre entrate in conto capitale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1912500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4615000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21750000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4 (40000): Entrate in conto capitale</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33466227,60</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12710000</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11550000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TITOLO 5: Entrate da riduzione di attività finanziarie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100: Alienazione di attività finanziarie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200: Riscossione crediti di breve termine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 xml:space="preserve">Tipologia 300: Riscossione crediti di medio-lungo </w:t>
            </w:r>
            <w:r>
              <w:rPr>
                <w:rFonts w:ascii="Arial" w:hAnsi="Arial" w:cs="Arial"/>
                <w:b/>
                <w:bCs/>
                <w:sz w:val="14"/>
                <w:szCs w:val="14"/>
              </w:rPr>
              <w:t>termine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400: Altre entrate per riduzione di attività finanziarie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5 (50000): Entrate da riduzione di attività finanziarie</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b/>
                <w:bCs/>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b/>
                <w:bCs/>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b/>
                <w:bCs/>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TITOLO 6: Accensione prestiti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 xml:space="preserve">Tipologia 100: Emissione di </w:t>
            </w:r>
            <w:r>
              <w:rPr>
                <w:rFonts w:ascii="Arial" w:hAnsi="Arial" w:cs="Arial"/>
                <w:b/>
                <w:bCs/>
                <w:sz w:val="14"/>
                <w:szCs w:val="14"/>
              </w:rPr>
              <w:t>titoli obbligazionari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200: Accensione prestiti a breve termine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300: Accensione mutui e altri finanziamenti a medio lungo termine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400: Altre forme di indebitamento</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6 (60000): Accensione prestiti</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b/>
                <w:bCs/>
                <w:sz w:val="14"/>
                <w:szCs w:val="14"/>
              </w:rPr>
              <w:t>0,00</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b/>
                <w:bCs/>
                <w:sz w:val="14"/>
                <w:szCs w:val="14"/>
              </w:rPr>
              <w:t>0,00</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b/>
                <w:bCs/>
                <w:sz w:val="14"/>
                <w:szCs w:val="14"/>
              </w:rPr>
              <w:t>0,00</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TITOLO 7: Anticipazioni da istituto tesoriere/cassiere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100: Anticipazioni da istituto tesoriere/cassiere</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29117226,15</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29117226,15</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29117226,15</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7 (70000): Anticipazioni</w:t>
            </w:r>
            <w:r>
              <w:rPr>
                <w:rFonts w:ascii="Arial" w:hAnsi="Arial" w:cs="Arial"/>
                <w:b/>
                <w:bCs/>
                <w:sz w:val="14"/>
                <w:szCs w:val="14"/>
              </w:rPr>
              <w:t xml:space="preserve"> da istituto tesoriere/cassiere</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29117226,15</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29117226,15</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29117226,15</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TITOLO 9: Entrate per conto terzi e partite di giro</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4"/>
                <w:szCs w:val="14"/>
              </w:rPr>
            </w:pP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100: Entrate per partite di giro</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99961822,14</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99961822,14</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99961822,14</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Tipologia 200: Entrate per conto terzi</w:t>
            </w: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6657662,08</w:t>
            </w: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6657662,08</w:t>
            </w: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pPr>
            <w:r>
              <w:rPr>
                <w:rFonts w:ascii="Arial" w:hAnsi="Arial" w:cs="Arial"/>
                <w:sz w:val="14"/>
                <w:szCs w:val="14"/>
              </w:rPr>
              <w:t>6657662,08</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9 (90000): Entrate per conto terzi e partite di giro</w:t>
            </w:r>
          </w:p>
        </w:tc>
        <w:tc>
          <w:tcPr>
            <w:tcW w:w="1742"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106619484,22</w:t>
            </w:r>
          </w:p>
        </w:tc>
        <w:tc>
          <w:tcPr>
            <w:tcW w:w="1700"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106619484,22</w:t>
            </w:r>
          </w:p>
        </w:tc>
        <w:tc>
          <w:tcPr>
            <w:tcW w:w="1718" w:type="dxa"/>
            <w:tcBorders>
              <w:top w:val="single" w:sz="6" w:space="0" w:color="00000A"/>
              <w:left w:val="single" w:sz="6" w:space="0" w:color="00000A"/>
              <w:bottom w:val="single" w:sz="6"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b/>
                <w:bCs/>
                <w:sz w:val="14"/>
                <w:szCs w:val="14"/>
              </w:rPr>
              <w:t>106619484,22</w:t>
            </w:r>
          </w:p>
        </w:tc>
      </w:tr>
    </w:tbl>
    <w:p w:rsidR="00E8351D" w:rsidRDefault="00E8351D">
      <w:pPr>
        <w:widowControl w:val="0"/>
        <w:spacing w:after="0" w:line="240" w:lineRule="auto"/>
        <w:ind w:left="1133" w:right="226"/>
        <w:rPr>
          <w:rFonts w:ascii="Arial" w:hAnsi="Arial" w:cs="Arial"/>
          <w:sz w:val="24"/>
          <w:szCs w:val="24"/>
        </w:rPr>
      </w:pPr>
    </w:p>
    <w:p w:rsidR="00E8351D" w:rsidRDefault="00E8351D">
      <w:pPr>
        <w:widowControl w:val="0"/>
        <w:spacing w:after="0" w:line="240" w:lineRule="auto"/>
        <w:ind w:left="1133" w:right="226"/>
        <w:rPr>
          <w:rFonts w:ascii="Arial" w:hAnsi="Arial" w:cs="Arial"/>
          <w:sz w:val="24"/>
          <w:szCs w:val="24"/>
        </w:rPr>
      </w:pPr>
    </w:p>
    <w:p w:rsidR="00E8351D" w:rsidRDefault="00E8351D">
      <w:pPr>
        <w:widowControl w:val="0"/>
        <w:spacing w:after="0" w:line="240" w:lineRule="auto"/>
        <w:ind w:left="1133" w:right="226"/>
        <w:rPr>
          <w:rFonts w:ascii="Arial" w:hAnsi="Arial" w:cs="Arial"/>
          <w:sz w:val="24"/>
          <w:szCs w:val="24"/>
        </w:rPr>
      </w:pPr>
    </w:p>
    <w:p w:rsidR="00E8351D" w:rsidRDefault="00E8351D">
      <w:pPr>
        <w:widowControl w:val="0"/>
        <w:spacing w:after="0" w:line="240" w:lineRule="auto"/>
        <w:ind w:left="1133" w:right="226"/>
        <w:rPr>
          <w:rFonts w:ascii="Arial" w:hAnsi="Arial" w:cs="Arial"/>
          <w:sz w:val="24"/>
          <w:szCs w:val="24"/>
        </w:rPr>
      </w:pPr>
    </w:p>
    <w:p w:rsidR="00E8351D" w:rsidRDefault="00E8351D">
      <w:pPr>
        <w:widowControl w:val="0"/>
        <w:spacing w:after="0" w:line="240" w:lineRule="auto"/>
        <w:ind w:left="1133" w:right="226"/>
        <w:rPr>
          <w:rFonts w:ascii="Arial" w:hAnsi="Arial" w:cs="Arial"/>
          <w:sz w:val="24"/>
          <w:szCs w:val="24"/>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b/>
                <w:bCs/>
                <w:color w:val="000080"/>
              </w:rPr>
            </w:pPr>
            <w:r>
              <w:rPr>
                <w:rFonts w:ascii="Arial" w:hAnsi="Arial" w:cs="Arial"/>
                <w:b/>
                <w:bCs/>
                <w:color w:val="000080"/>
              </w:rPr>
              <w:lastRenderedPageBreak/>
              <w:t>1.2 Analisi delle voci più significative del titolo 1^</w:t>
            </w:r>
          </w:p>
        </w:tc>
      </w:tr>
    </w:tbl>
    <w:p w:rsidR="00E8351D" w:rsidRDefault="00E8351D">
      <w:pPr>
        <w:widowControl w:val="0"/>
        <w:spacing w:after="0" w:line="240" w:lineRule="auto"/>
        <w:ind w:left="1133" w:right="226"/>
        <w:jc w:val="both"/>
        <w:rPr>
          <w:rFonts w:ascii="Arial" w:hAnsi="Arial" w:cs="Arial"/>
          <w:b/>
          <w:bCs/>
          <w:sz w:val="24"/>
          <w:szCs w:val="24"/>
        </w:rPr>
      </w:pPr>
    </w:p>
    <w:p w:rsidR="00E8351D" w:rsidRDefault="00872F84">
      <w:pPr>
        <w:widowControl w:val="0"/>
        <w:tabs>
          <w:tab w:val="left" w:pos="1417"/>
        </w:tabs>
        <w:spacing w:after="0" w:line="240" w:lineRule="auto"/>
        <w:ind w:left="1133" w:right="170"/>
        <w:jc w:val="both"/>
        <w:rPr>
          <w:rFonts w:ascii="Arial" w:hAnsi="Arial" w:cs="Arial"/>
        </w:rPr>
      </w:pPr>
      <w:r>
        <w:rPr>
          <w:rFonts w:ascii="Arial" w:hAnsi="Arial" w:cs="Arial"/>
        </w:rPr>
        <w:tab/>
        <w:t>Al fine di rendere più leggibile il dato aggregato e dimostrare</w:t>
      </w:r>
      <w:r>
        <w:rPr>
          <w:rFonts w:ascii="Arial" w:hAnsi="Arial" w:cs="Arial"/>
        </w:rPr>
        <w:t xml:space="preserve"> l’attendibilità delle previsioni di entrata, nel presente paragrafo si riportano, per grandi linee, alcune considerazioni sulle principali voci di entrata del titolo 1^ (entrate tributarie) che hanno condotto l’Amministrazione verso la definizione dell’en</w:t>
      </w:r>
      <w:r>
        <w:rPr>
          <w:rFonts w:ascii="Arial" w:hAnsi="Arial" w:cs="Arial"/>
        </w:rPr>
        <w:t>tità degli stanziamenti poi riportati nel bilancio 2017.</w:t>
      </w:r>
    </w:p>
    <w:p w:rsidR="00E8351D" w:rsidRDefault="00872F84">
      <w:pPr>
        <w:widowControl w:val="0"/>
        <w:tabs>
          <w:tab w:val="left" w:pos="1417"/>
        </w:tabs>
        <w:spacing w:after="0" w:line="240" w:lineRule="auto"/>
        <w:ind w:left="1133" w:right="170"/>
        <w:jc w:val="both"/>
        <w:rPr>
          <w:rFonts w:ascii="Arial" w:hAnsi="Arial" w:cs="Arial"/>
        </w:rPr>
      </w:pPr>
      <w:r>
        <w:rPr>
          <w:rFonts w:ascii="Arial" w:hAnsi="Arial" w:cs="Arial"/>
        </w:rPr>
        <w:t>Le previsioni delle entrate tributarie sono state determinate tenendo presente che la legge di stabilità ha introdotto per l’anno 2016 la sospensione dell’efficacia delle leggi regionali e delle deli</w:t>
      </w:r>
      <w:r>
        <w:rPr>
          <w:rFonts w:ascii="Arial" w:hAnsi="Arial" w:cs="Arial"/>
        </w:rPr>
        <w:t>berazioni degli enti locali nella parte in cui prevedono aumenti dei tributi e delle addizionali rispetto ai livelli di aliquote o tariffe applicabili per l’anno 2015. Il blocco tariffario è stato confermato anche dal comma 42 dell'unico articolo della leg</w:t>
      </w:r>
      <w:r>
        <w:rPr>
          <w:rFonts w:ascii="Arial" w:hAnsi="Arial" w:cs="Arial"/>
        </w:rPr>
        <w:t>ge di bilancio 2017, la n.232/2016. Ciò si traduce di fatto in un blocco degli aumenti dei tributi e delle addizionali, dal quale viene esclusa solo la TARI.</w:t>
      </w:r>
    </w:p>
    <w:p w:rsidR="00E8351D" w:rsidRDefault="00872F84">
      <w:pPr>
        <w:widowControl w:val="0"/>
        <w:tabs>
          <w:tab w:val="left" w:pos="1417"/>
        </w:tabs>
        <w:spacing w:after="0" w:line="240" w:lineRule="auto"/>
        <w:ind w:left="1133" w:right="170"/>
        <w:jc w:val="both"/>
        <w:rPr>
          <w:rFonts w:ascii="Arial" w:hAnsi="Arial" w:cs="Arial"/>
        </w:rPr>
      </w:pPr>
      <w:r>
        <w:rPr>
          <w:rFonts w:ascii="Arial" w:hAnsi="Arial" w:cs="Arial"/>
        </w:rPr>
        <w:t>Scopo dichiarato dal legislatore è quello di contenere il livello complessivo di pressione tributa</w:t>
      </w:r>
      <w:r>
        <w:rPr>
          <w:rFonts w:ascii="Arial" w:hAnsi="Arial" w:cs="Arial"/>
        </w:rPr>
        <w:t>ria, in coerenza con gli equilibri generali di finanza pubblica.</w:t>
      </w:r>
    </w:p>
    <w:p w:rsidR="00E8351D" w:rsidRDefault="00E8351D">
      <w:pPr>
        <w:widowControl w:val="0"/>
        <w:tabs>
          <w:tab w:val="left" w:pos="1417"/>
        </w:tabs>
        <w:spacing w:after="0" w:line="240" w:lineRule="auto"/>
        <w:ind w:left="1133" w:right="170"/>
        <w:jc w:val="both"/>
        <w:rPr>
          <w:rFonts w:ascii="Arial" w:hAnsi="Arial" w:cs="Arial"/>
        </w:rPr>
      </w:pPr>
    </w:p>
    <w:p w:rsidR="00E8351D" w:rsidRDefault="00872F84">
      <w:pPr>
        <w:widowControl w:val="0"/>
        <w:tabs>
          <w:tab w:val="left" w:pos="1417"/>
        </w:tabs>
        <w:spacing w:after="0" w:line="240" w:lineRule="auto"/>
        <w:ind w:left="1133" w:right="170"/>
        <w:jc w:val="both"/>
        <w:rPr>
          <w:rFonts w:ascii="Arial" w:hAnsi="Arial" w:cs="Arial"/>
        </w:rPr>
      </w:pPr>
      <w:r>
        <w:rPr>
          <w:rFonts w:ascii="Arial" w:hAnsi="Arial" w:cs="Arial"/>
        </w:rPr>
        <w:t>Solo per la Tasi e limitatamente all’anno di imposta 2017, così come accaduto per l'esercizio finanziario 2016, e facendo esclusivo riferimento agli immobili non esentati dalla tassazione im</w:t>
      </w:r>
      <w:r>
        <w:rPr>
          <w:rFonts w:ascii="Arial" w:hAnsi="Arial" w:cs="Arial"/>
        </w:rPr>
        <w:t>mobiliare, i comuni possono mantenere con espressa deliberazione del consiglio comunale la maggiorazione della TASI di cui al comma 677 dell’articolo 1 della legge 27 dicembre 2013, n. 147, nella stessa misura applicata per l’anno 2016, così come espressam</w:t>
      </w:r>
      <w:r>
        <w:rPr>
          <w:rFonts w:ascii="Arial" w:hAnsi="Arial" w:cs="Arial"/>
        </w:rPr>
        <w:t xml:space="preserve">ente previsto dall’art. 1, comma 42, lett. b) della Legge 232/2016 (Legge di Bilancio 2017). </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color w:val="000080"/>
          <w:u w:val="single"/>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color w:val="000080"/>
          <w:u w:val="single"/>
        </w:rPr>
      </w:pPr>
      <w:r>
        <w:rPr>
          <w:rFonts w:ascii="Arial" w:hAnsi="Arial" w:cs="Arial"/>
          <w:b/>
          <w:bCs/>
          <w:color w:val="000080"/>
          <w:u w:val="single"/>
        </w:rPr>
        <w:t>TASI</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rPr>
      </w:pPr>
      <w:r>
        <w:rPr>
          <w:rFonts w:ascii="Arial" w:hAnsi="Arial" w:cs="Arial"/>
        </w:rPr>
        <w:tab/>
        <w:t xml:space="preserve">La legge di stabilità 2016 ha disposto l’eliminazione della TASI sull’abitazione principale dovuta sia dal possessore che dall'utilizzatore e dal suo </w:t>
      </w:r>
      <w:r>
        <w:rPr>
          <w:rFonts w:ascii="Arial" w:hAnsi="Arial" w:cs="Arial"/>
        </w:rPr>
        <w:t>nucleo familiare, ad eccezione delle abitazioni  classificate nelle categorie catastali A/1, A/8 e A/9 per le quali la Tasi continuerà ad essere dovuta.</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rPr>
      </w:pPr>
      <w:r>
        <w:rPr>
          <w:rFonts w:ascii="Arial" w:hAnsi="Arial" w:cs="Arial"/>
        </w:rPr>
        <w:t>Un aspetto sicuramente significativo è quello dell’eliminazione dall’imposizione TASI per quegli immobi</w:t>
      </w:r>
      <w:r>
        <w:rPr>
          <w:rFonts w:ascii="Arial" w:hAnsi="Arial" w:cs="Arial"/>
        </w:rPr>
        <w:t>li che sono utilizzati quali abitazione principale da soggetto diverso dal proprietario: con la conseguenza che la Tasi non risulta dovuta anche nell’ipotesi in cui è il detentore a destinare l’immobile ad abitazione principale.</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rPr>
      </w:pPr>
      <w:r>
        <w:rPr>
          <w:rFonts w:ascii="Arial" w:hAnsi="Arial" w:cs="Arial"/>
        </w:rPr>
        <w:t xml:space="preserve">Il governo ha garantito il </w:t>
      </w:r>
      <w:r>
        <w:rPr>
          <w:rFonts w:ascii="Arial" w:hAnsi="Arial" w:cs="Arial"/>
        </w:rPr>
        <w:t>ristoro integrale attraverso il rimborso ai comuni calcolato sulla base del gettito TASI 2016.</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b/>
          <w:bCs/>
          <w:color w:val="FF0000"/>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u w:val="single"/>
        </w:rPr>
      </w:pPr>
      <w:r>
        <w:rPr>
          <w:rFonts w:ascii="Arial" w:hAnsi="Arial" w:cs="Arial"/>
          <w:u w:val="single"/>
        </w:rPr>
        <w:t xml:space="preserve">Effetti sul bilancio di </w:t>
      </w:r>
      <w:r>
        <w:rPr>
          <w:rFonts w:ascii="Arial" w:hAnsi="Arial" w:cs="Arial"/>
          <w:u w:val="single"/>
        </w:rPr>
        <w:t>previsione</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t xml:space="preserve">Sulla scorta delle previsioni effettuate dall'ufficio competente è stato previsto uno stanziamento in bilancio di Euro </w:t>
      </w:r>
      <w:r>
        <w:rPr>
          <w:rFonts w:ascii="Arial" w:hAnsi="Arial" w:cs="Arial"/>
          <w:color w:val="FF0000"/>
        </w:rPr>
        <w:t xml:space="preserve"> </w:t>
      </w:r>
      <w:r>
        <w:rPr>
          <w:rFonts w:ascii="Arial" w:hAnsi="Arial" w:cs="Arial"/>
        </w:rPr>
        <w:t>4.800.000,00.</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Times New Roman" w:hAnsi="Times New Roman" w:cs="Times New Roman"/>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color w:val="000080"/>
          <w:u w:val="single"/>
        </w:rPr>
      </w:pPr>
      <w:r>
        <w:rPr>
          <w:rFonts w:ascii="Arial" w:hAnsi="Arial" w:cs="Arial"/>
          <w:b/>
          <w:bCs/>
          <w:color w:val="000080"/>
          <w:u w:val="single"/>
        </w:rPr>
        <w:t>I.M.U.</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color w:val="000080"/>
          <w:u w:val="single"/>
        </w:rPr>
      </w:pP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rPr>
          <w:rFonts w:ascii="Arial" w:hAnsi="Arial" w:cs="Arial"/>
          <w:u w:val="single"/>
        </w:rPr>
      </w:pPr>
      <w:r>
        <w:rPr>
          <w:rFonts w:ascii="Arial" w:hAnsi="Arial" w:cs="Arial"/>
        </w:rPr>
        <w:tab/>
      </w:r>
      <w:r>
        <w:rPr>
          <w:rFonts w:ascii="Arial" w:hAnsi="Arial" w:cs="Arial"/>
        </w:rPr>
        <w:tab/>
      </w:r>
      <w:r>
        <w:rPr>
          <w:rFonts w:ascii="Arial" w:hAnsi="Arial" w:cs="Arial"/>
          <w:u w:val="single"/>
        </w:rPr>
        <w:t>Abitazione Principale</w:t>
      </w: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r>
        <w:rPr>
          <w:rFonts w:ascii="Arial" w:hAnsi="Arial" w:cs="Arial"/>
        </w:rPr>
        <w:t xml:space="preserve">La tassazione sull’abitazione principale è stata eliminata con la manovra </w:t>
      </w:r>
      <w:r>
        <w:rPr>
          <w:rFonts w:ascii="Arial" w:hAnsi="Arial" w:cs="Arial"/>
        </w:rPr>
        <w:t>di fine anno del 2014: attualmente vige l’esenzione dall’IMU dell’immobile adibito ad abitazione principale (esenzione che opera per tutti gli immobili a meno che non si tratti di immobili di lusso accatastati nelle categorie A/8, A/9 e A/1).</w:t>
      </w: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r>
        <w:rPr>
          <w:rFonts w:ascii="Arial" w:hAnsi="Arial" w:cs="Arial"/>
        </w:rPr>
        <w:t xml:space="preserve">Pertanto le </w:t>
      </w:r>
      <w:r>
        <w:rPr>
          <w:rFonts w:ascii="Arial" w:hAnsi="Arial" w:cs="Arial"/>
        </w:rPr>
        <w:t>abitazioni principali continueranno ad essere esonerate dal versamento dell’IMU a meno che non si tratti di abitazioni di tipo signorile (A/1), ville (A/8)  e castelli e palazzi eminenti (A/9).</w:t>
      </w: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u w:val="single"/>
        </w:rPr>
      </w:pPr>
      <w:r>
        <w:rPr>
          <w:rFonts w:ascii="Arial" w:hAnsi="Arial" w:cs="Arial"/>
          <w:u w:val="single"/>
        </w:rPr>
        <w:t>Terreni Agricoli</w:t>
      </w: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r>
        <w:rPr>
          <w:rFonts w:ascii="Arial" w:hAnsi="Arial" w:cs="Arial"/>
        </w:rPr>
        <w:t>Dal lato dei terreni agricoli, si confermano</w:t>
      </w:r>
      <w:r>
        <w:rPr>
          <w:rFonts w:ascii="Arial" w:hAnsi="Arial" w:cs="Arial"/>
        </w:rPr>
        <w:t xml:space="preserve"> le novità introdotte nel 2016 con legge di stabilità:</w:t>
      </w:r>
    </w:p>
    <w:p w:rsidR="00E8351D" w:rsidRDefault="00872F84">
      <w:pPr>
        <w:widowControl w:val="0"/>
        <w:numPr>
          <w:ilvl w:val="0"/>
          <w:numId w:val="2"/>
        </w:numPr>
        <w:tabs>
          <w:tab w:val="left" w:pos="708"/>
          <w:tab w:val="left" w:pos="1134"/>
          <w:tab w:val="left" w:pos="1416"/>
          <w:tab w:val="left" w:pos="1853"/>
          <w:tab w:val="left" w:pos="2268"/>
          <w:tab w:val="left" w:pos="2832"/>
          <w:tab w:val="left" w:pos="3402"/>
          <w:tab w:val="left" w:pos="3540"/>
          <w:tab w:val="left" w:pos="4248"/>
          <w:tab w:val="left" w:pos="4536"/>
          <w:tab w:val="left" w:pos="4956"/>
          <w:tab w:val="left" w:pos="5664"/>
          <w:tab w:val="left" w:pos="6372"/>
        </w:tabs>
        <w:spacing w:after="0" w:line="240" w:lineRule="auto"/>
        <w:ind w:left="1853" w:right="170" w:hanging="360"/>
        <w:jc w:val="both"/>
        <w:rPr>
          <w:rFonts w:ascii="Arial" w:hAnsi="Arial" w:cs="Arial"/>
        </w:rPr>
      </w:pPr>
      <w:r>
        <w:rPr>
          <w:rFonts w:ascii="Arial" w:hAnsi="Arial" w:cs="Arial"/>
        </w:rPr>
        <w:lastRenderedPageBreak/>
        <w:t>in primis, a decorrere dall’anno 2016, l’esenzione dall’IMU dei terreni agricoli, si applica sulla base dei criteri individuati dalla circolare del Ministero delle finanze n. 9 del 14 giugno 1993. Vien</w:t>
      </w:r>
      <w:r>
        <w:rPr>
          <w:rFonts w:ascii="Arial" w:hAnsi="Arial" w:cs="Arial"/>
        </w:rPr>
        <w:t>e meno, quindi, l’individuazione dei terreni agricoli esenti sulla base della classificazione operata dall’Istat in comuni montani, situati ad un'altitudine di m 601 e oltre, e comuni non montani e quindi soggetti ad imposta.</w:t>
      </w:r>
    </w:p>
    <w:p w:rsidR="00E8351D" w:rsidRDefault="00872F84">
      <w:pPr>
        <w:widowControl w:val="0"/>
        <w:numPr>
          <w:ilvl w:val="0"/>
          <w:numId w:val="2"/>
        </w:numPr>
        <w:tabs>
          <w:tab w:val="left" w:pos="708"/>
          <w:tab w:val="left" w:pos="1134"/>
          <w:tab w:val="left" w:pos="1416"/>
          <w:tab w:val="left" w:pos="1853"/>
          <w:tab w:val="left" w:pos="2268"/>
          <w:tab w:val="left" w:pos="2832"/>
          <w:tab w:val="left" w:pos="3402"/>
          <w:tab w:val="left" w:pos="3540"/>
          <w:tab w:val="left" w:pos="4248"/>
          <w:tab w:val="left" w:pos="4536"/>
          <w:tab w:val="left" w:pos="4956"/>
          <w:tab w:val="left" w:pos="5664"/>
          <w:tab w:val="left" w:pos="6372"/>
        </w:tabs>
        <w:spacing w:after="0" w:line="240" w:lineRule="auto"/>
        <w:ind w:left="1853" w:right="170" w:hanging="360"/>
        <w:jc w:val="both"/>
        <w:rPr>
          <w:rFonts w:ascii="Arial" w:hAnsi="Arial" w:cs="Arial"/>
        </w:rPr>
      </w:pPr>
      <w:r>
        <w:rPr>
          <w:rFonts w:ascii="Arial" w:hAnsi="Arial" w:cs="Arial"/>
        </w:rPr>
        <w:t>Vengono esonerati dall’IMU i t</w:t>
      </w:r>
      <w:r>
        <w:rPr>
          <w:rFonts w:ascii="Arial" w:hAnsi="Arial" w:cs="Arial"/>
        </w:rPr>
        <w:t>erreni agricoli posseduti e condotti dai coltivatori diretti e dagli imprenditori agricoli professionali di cui all’articolo 1 del decreto legislativo 29 marzo 2004, n. 99, iscritti nella previdenza agricola, indipendentemente dalla loro ubicazione;</w:t>
      </w:r>
    </w:p>
    <w:p w:rsidR="00E8351D" w:rsidRDefault="00872F84">
      <w:pPr>
        <w:widowControl w:val="0"/>
        <w:numPr>
          <w:ilvl w:val="0"/>
          <w:numId w:val="2"/>
        </w:numPr>
        <w:tabs>
          <w:tab w:val="left" w:pos="708"/>
          <w:tab w:val="left" w:pos="1134"/>
          <w:tab w:val="left" w:pos="1416"/>
          <w:tab w:val="left" w:pos="1853"/>
          <w:tab w:val="left" w:pos="2268"/>
          <w:tab w:val="left" w:pos="2832"/>
          <w:tab w:val="left" w:pos="3402"/>
          <w:tab w:val="left" w:pos="3540"/>
          <w:tab w:val="left" w:pos="4248"/>
          <w:tab w:val="left" w:pos="4536"/>
          <w:tab w:val="left" w:pos="4956"/>
          <w:tab w:val="left" w:pos="5664"/>
          <w:tab w:val="left" w:pos="6372"/>
        </w:tabs>
        <w:spacing w:after="0" w:line="240" w:lineRule="auto"/>
        <w:ind w:left="1853" w:right="170" w:hanging="360"/>
        <w:jc w:val="both"/>
        <w:rPr>
          <w:rFonts w:ascii="Arial" w:hAnsi="Arial" w:cs="Arial"/>
        </w:rPr>
      </w:pPr>
      <w:r>
        <w:rPr>
          <w:rFonts w:ascii="Arial" w:hAnsi="Arial" w:cs="Arial"/>
        </w:rPr>
        <w:t>Sono i</w:t>
      </w:r>
      <w:r>
        <w:rPr>
          <w:rFonts w:ascii="Arial" w:hAnsi="Arial" w:cs="Arial"/>
        </w:rPr>
        <w:t>noltre esenti da IMU:</w:t>
      </w:r>
    </w:p>
    <w:p w:rsidR="00E8351D" w:rsidRDefault="00872F84">
      <w:pPr>
        <w:widowControl w:val="0"/>
        <w:tabs>
          <w:tab w:val="left" w:pos="708"/>
          <w:tab w:val="left" w:pos="1134"/>
          <w:tab w:val="left" w:pos="1416"/>
          <w:tab w:val="left" w:pos="2124"/>
          <w:tab w:val="left" w:pos="2268"/>
          <w:tab w:val="left" w:pos="2552"/>
          <w:tab w:val="left" w:pos="3402"/>
          <w:tab w:val="left" w:pos="3540"/>
          <w:tab w:val="left" w:pos="4248"/>
          <w:tab w:val="left" w:pos="4536"/>
          <w:tab w:val="left" w:pos="4956"/>
          <w:tab w:val="left" w:pos="5664"/>
          <w:tab w:val="left" w:pos="6372"/>
        </w:tabs>
        <w:spacing w:after="0" w:line="240" w:lineRule="auto"/>
        <w:ind w:left="2466" w:right="170" w:hanging="253"/>
        <w:jc w:val="both"/>
        <w:rPr>
          <w:rFonts w:ascii="Arial" w:hAnsi="Arial" w:cs="Arial"/>
        </w:rPr>
      </w:pPr>
      <w:r>
        <w:rPr>
          <w:rFonts w:ascii="Arial" w:hAnsi="Arial" w:cs="Arial"/>
        </w:rPr>
        <w:t>a) ubicati nei comuni delle isole minori di cui all’allegato A annesso alla legge 28 dicembre 2001, n. 448;</w:t>
      </w:r>
    </w:p>
    <w:p w:rsidR="00E8351D" w:rsidRDefault="00872F84">
      <w:pPr>
        <w:widowControl w:val="0"/>
        <w:tabs>
          <w:tab w:val="left" w:pos="708"/>
          <w:tab w:val="left" w:pos="1134"/>
          <w:tab w:val="left" w:pos="1416"/>
          <w:tab w:val="left" w:pos="2124"/>
          <w:tab w:val="left" w:pos="2268"/>
          <w:tab w:val="left" w:pos="2552"/>
          <w:tab w:val="left" w:pos="3402"/>
          <w:tab w:val="left" w:pos="3540"/>
          <w:tab w:val="left" w:pos="4248"/>
          <w:tab w:val="left" w:pos="4536"/>
          <w:tab w:val="left" w:pos="4956"/>
          <w:tab w:val="left" w:pos="5664"/>
          <w:tab w:val="left" w:pos="6372"/>
        </w:tabs>
        <w:spacing w:after="0" w:line="240" w:lineRule="auto"/>
        <w:ind w:left="2494" w:right="170" w:hanging="281"/>
        <w:rPr>
          <w:rFonts w:ascii="Arial" w:hAnsi="Arial" w:cs="Arial"/>
        </w:rPr>
      </w:pPr>
      <w:r>
        <w:rPr>
          <w:rFonts w:ascii="Arial" w:hAnsi="Arial" w:cs="Arial"/>
        </w:rPr>
        <w:t>b) a immutabile destinazione agrosilvo-pastorale a proprietà collettiva indivisibile e inusucapibile, dunque indipendentemente</w:t>
      </w:r>
      <w:r>
        <w:rPr>
          <w:rFonts w:ascii="Arial" w:hAnsi="Arial" w:cs="Arial"/>
        </w:rPr>
        <w:t xml:space="preserve"> in tal ca soda ubicazione e possesso.</w:t>
      </w:r>
    </w:p>
    <w:p w:rsidR="00E8351D" w:rsidRDefault="00E8351D">
      <w:pPr>
        <w:widowControl w:val="0"/>
        <w:tabs>
          <w:tab w:val="left" w:pos="708"/>
          <w:tab w:val="left" w:pos="1134"/>
          <w:tab w:val="left" w:pos="1416"/>
          <w:tab w:val="left" w:pos="2124"/>
          <w:tab w:val="left" w:pos="2268"/>
          <w:tab w:val="left" w:pos="2552"/>
          <w:tab w:val="left" w:pos="3402"/>
          <w:tab w:val="left" w:pos="3540"/>
          <w:tab w:val="left" w:pos="4248"/>
          <w:tab w:val="left" w:pos="4536"/>
          <w:tab w:val="left" w:pos="4956"/>
          <w:tab w:val="left" w:pos="5664"/>
          <w:tab w:val="left" w:pos="6372"/>
        </w:tabs>
        <w:spacing w:after="0" w:line="240" w:lineRule="auto"/>
        <w:ind w:left="2552" w:right="170"/>
        <w:rPr>
          <w:rFonts w:ascii="Times New Roman" w:hAnsi="Times New Roman" w:cs="Times New Roman"/>
        </w:rPr>
      </w:pP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r>
        <w:rPr>
          <w:rFonts w:ascii="Arial" w:hAnsi="Arial" w:cs="Arial"/>
        </w:rPr>
        <w:t>In considerazione dell’esenzione dei terreni agricoli posseduti e condotti dai coltivatori diretti e dagli imprenditori agricoli, il moltiplicatore 75 utilizzato per il calcolo della base imponibile viene eliminato m</w:t>
      </w:r>
      <w:r>
        <w:rPr>
          <w:rFonts w:ascii="Arial" w:hAnsi="Arial" w:cs="Arial"/>
        </w:rPr>
        <w:t>entre il moltiplicatore 135 continuerà ad utilizzarsi per tutti i terreni.</w:t>
      </w: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r>
        <w:rPr>
          <w:rFonts w:ascii="Arial" w:hAnsi="Arial" w:cs="Arial"/>
        </w:rPr>
        <w:t xml:space="preserve">Infine la legge di stabilità per il 2017 elimina la franchigia di 6.000 euro per i terreni agricoli </w:t>
      </w:r>
      <w:r>
        <w:rPr>
          <w:rFonts w:ascii="Verdana" w:hAnsi="Verdana" w:cs="Verdana"/>
          <w:color w:val="686868"/>
          <w:sz w:val="20"/>
          <w:szCs w:val="20"/>
          <w:shd w:val="clear" w:color="auto" w:fill="FFFFFF"/>
        </w:rPr>
        <w:t xml:space="preserve"> </w:t>
      </w:r>
      <w:r>
        <w:rPr>
          <w:rFonts w:ascii="Arial" w:hAnsi="Arial" w:cs="Arial"/>
        </w:rPr>
        <w:t>posseduti da coltivatori diretti o da imprenditori agricoli professionali a segu</w:t>
      </w:r>
      <w:r>
        <w:rPr>
          <w:rFonts w:ascii="Arial" w:hAnsi="Arial" w:cs="Arial"/>
        </w:rPr>
        <w:t>ito dell’abrogazione dell’art. 8 bis del D.L. 201/2011 che prevedeva l’assoggettamento di tali terreni solo per la parte di valore eccedenti i 6.000 euro.</w:t>
      </w: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p>
    <w:p w:rsidR="00E8351D" w:rsidRDefault="00872F84">
      <w:pPr>
        <w:widowControl w:val="0"/>
        <w:tabs>
          <w:tab w:val="left" w:pos="708"/>
          <w:tab w:val="left" w:pos="1134"/>
          <w:tab w:val="left" w:pos="1416"/>
          <w:tab w:val="left" w:pos="2124"/>
          <w:tab w:val="left" w:pos="2268"/>
          <w:tab w:val="left" w:pos="2547"/>
          <w:tab w:val="left" w:pos="3402"/>
          <w:tab w:val="left" w:pos="3540"/>
          <w:tab w:val="left" w:pos="4248"/>
          <w:tab w:val="left" w:pos="4536"/>
          <w:tab w:val="left" w:pos="4956"/>
          <w:tab w:val="left" w:pos="5664"/>
          <w:tab w:val="left" w:pos="6372"/>
        </w:tabs>
        <w:spacing w:after="0" w:line="240" w:lineRule="auto"/>
        <w:ind w:left="2547" w:right="170" w:hanging="1413"/>
        <w:rPr>
          <w:rFonts w:ascii="Arial" w:hAnsi="Arial" w:cs="Arial"/>
          <w:u w:val="single"/>
        </w:rPr>
      </w:pPr>
      <w:r>
        <w:rPr>
          <w:rFonts w:ascii="Arial" w:hAnsi="Arial" w:cs="Arial"/>
          <w:u w:val="single"/>
        </w:rPr>
        <w:t xml:space="preserve">Comodato gratuito </w:t>
      </w: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64"/>
          <w:tab w:val="left" w:pos="6372"/>
        </w:tabs>
        <w:spacing w:after="0" w:line="240" w:lineRule="auto"/>
        <w:ind w:left="1133" w:right="170"/>
        <w:jc w:val="both"/>
        <w:rPr>
          <w:rFonts w:ascii="Arial" w:hAnsi="Arial" w:cs="Arial"/>
        </w:rPr>
      </w:pPr>
      <w:r>
        <w:rPr>
          <w:rFonts w:ascii="Arial" w:hAnsi="Arial" w:cs="Arial"/>
        </w:rPr>
        <w:t>Anche sul fronte del comodato gratuito la legge di stabilità innova il trattamen</w:t>
      </w:r>
      <w:r>
        <w:rPr>
          <w:rFonts w:ascii="Arial" w:hAnsi="Arial" w:cs="Arial"/>
        </w:rPr>
        <w:t>to fiscale delle unità immobiliari, fatta eccezione per quelle classificate nelle categorie catastali A/1, A/8 e A/9, concesse in comodato dal soggetto passivo ai parenti in linea retta entro il primo grado: se il soggetto che  utilizza l’unità immobiliare</w:t>
      </w:r>
      <w:r>
        <w:rPr>
          <w:rFonts w:ascii="Arial" w:hAnsi="Arial" w:cs="Arial"/>
        </w:rPr>
        <w:t xml:space="preserve"> concessa in comodato  adibisce l’immobile ad abitazione principale ed il comodante possiede un solo immobile in Italia e risiede anagraficamente nonché dimora abitualmente nello stesso comune in cui è situato l’immobile concesso in comodato, oppure il com</w:t>
      </w:r>
      <w:r>
        <w:rPr>
          <w:rFonts w:ascii="Arial" w:hAnsi="Arial" w:cs="Arial"/>
        </w:rPr>
        <w:t>odante oltre all’immobile concesso in comodato possiede nello stesso comune un altro immobile adibito a propria abitazione principale, ad eccezione delle unità abitative classificate nelle categorie catastali A/1, A/8 e A/9, la base imponibile è ridotta de</w:t>
      </w:r>
      <w:r>
        <w:rPr>
          <w:rFonts w:ascii="Arial" w:hAnsi="Arial" w:cs="Arial"/>
        </w:rPr>
        <w:t>l 50%. Altra condizione richiesta è che il contratto di comodato sia registrato.</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u w:val="single"/>
        </w:rPr>
      </w:pPr>
      <w:r>
        <w:rPr>
          <w:rFonts w:ascii="Arial" w:hAnsi="Arial" w:cs="Arial"/>
          <w:u w:val="single"/>
        </w:rPr>
        <w:t>Effetti sul bilancio di previsione</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color w:val="FF0000"/>
        </w:rPr>
      </w:pPr>
      <w:r>
        <w:rPr>
          <w:rFonts w:ascii="Arial" w:hAnsi="Arial" w:cs="Arial"/>
        </w:rPr>
        <w:tab/>
        <w:t>Sulla base delle novità normative introdotte con la legge di stabilità 2016, è stato quantificato un gettito presunto iscritto in bilancio</w:t>
      </w:r>
      <w:r>
        <w:rPr>
          <w:rFonts w:ascii="Arial" w:hAnsi="Arial" w:cs="Arial"/>
        </w:rPr>
        <w:t xml:space="preserve"> per un importo pari a € 14.800.000,00</w:t>
      </w:r>
      <w:r>
        <w:rPr>
          <w:rFonts w:ascii="Arial" w:hAnsi="Arial" w:cs="Arial"/>
          <w:color w:val="FF0000"/>
        </w:rPr>
        <w:t>.</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rPr>
          <w:rFonts w:ascii="Arial" w:hAnsi="Arial" w:cs="Arial"/>
          <w:b/>
          <w:bCs/>
        </w:rPr>
      </w:pPr>
      <w:r>
        <w:rPr>
          <w:rFonts w:ascii="Arial" w:hAnsi="Arial" w:cs="Arial"/>
          <w:b/>
          <w:bCs/>
          <w:color w:val="000080"/>
          <w:u w:val="single"/>
        </w:rPr>
        <w:t>TARI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t>Com’è noto il presupposto per l'applicazione della TARI, del tutto simile alla TARES, conferma la natura presuntiva del prelievo, in quanto legato non alla effettiva produzione di rifiuti o all'utilizzo dei se</w:t>
      </w:r>
      <w:r>
        <w:rPr>
          <w:rFonts w:ascii="Arial" w:hAnsi="Arial" w:cs="Arial"/>
        </w:rPr>
        <w:t>rvizi, ma solo alla loro potenzialità e, quindi, alla ipotetica fruizione di un servizio.</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t xml:space="preserve">La TARI è dovuta da chiunque possieda o detenga a qualsiasi titolo locali o aree scoperte, a qualsiasi uso adibiti, suscettibili di produrre rifiuti urbani. In caso </w:t>
      </w:r>
      <w:r>
        <w:rPr>
          <w:rFonts w:ascii="Arial" w:hAnsi="Arial" w:cs="Arial"/>
        </w:rPr>
        <w:t>di pluralità di possessori o di detentori, essi sono tenuti in solido all'adempimento dell'unica obbligazione tributaria.</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t>La base imponibile del tributo è commisurata:</w:t>
      </w:r>
    </w:p>
    <w:p w:rsidR="00E8351D" w:rsidRDefault="00872F84">
      <w:pPr>
        <w:widowControl w:val="0"/>
        <w:numPr>
          <w:ilvl w:val="0"/>
          <w:numId w:val="2"/>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777" w:right="170" w:hanging="360"/>
        <w:jc w:val="both"/>
        <w:rPr>
          <w:rFonts w:ascii="Arial" w:hAnsi="Arial" w:cs="Arial"/>
        </w:rPr>
      </w:pPr>
      <w:r>
        <w:rPr>
          <w:rFonts w:ascii="Arial" w:hAnsi="Arial" w:cs="Arial"/>
        </w:rPr>
        <w:t xml:space="preserve">nel caso di immobili a destinazione ordinaria, all'80% della superficie catastale dei </w:t>
      </w:r>
      <w:r>
        <w:rPr>
          <w:rFonts w:ascii="Arial" w:hAnsi="Arial" w:cs="Arial"/>
        </w:rPr>
        <w:t>locali e delle aree,</w:t>
      </w:r>
    </w:p>
    <w:p w:rsidR="00E8351D" w:rsidRDefault="00872F84">
      <w:pPr>
        <w:widowControl w:val="0"/>
        <w:numPr>
          <w:ilvl w:val="0"/>
          <w:numId w:val="2"/>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777" w:right="170" w:hanging="360"/>
        <w:jc w:val="both"/>
        <w:rPr>
          <w:rFonts w:ascii="Arial" w:hAnsi="Arial" w:cs="Arial"/>
        </w:rPr>
      </w:pPr>
      <w:r>
        <w:rPr>
          <w:rFonts w:ascii="Arial" w:hAnsi="Arial" w:cs="Arial"/>
        </w:rPr>
        <w:t xml:space="preserve">nel caso di altre unità immobiliari alla superficie calpestabile. </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u w:val="single"/>
        </w:rPr>
      </w:pPr>
      <w:r>
        <w:rPr>
          <w:rFonts w:ascii="Arial" w:hAnsi="Arial" w:cs="Arial"/>
          <w:u w:val="single"/>
        </w:rPr>
        <w:lastRenderedPageBreak/>
        <w:t>Effetti sul bilancio di previsione</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color w:val="FF0000"/>
        </w:rPr>
      </w:pPr>
      <w:r>
        <w:rPr>
          <w:rFonts w:ascii="Arial" w:hAnsi="Arial" w:cs="Arial"/>
        </w:rPr>
        <w:tab/>
        <w:t>Sulla scorta delle previsioni effettuate dall'ufficio competente, è stato previsto uno stanziamento di Euro</w:t>
      </w:r>
      <w:r>
        <w:rPr>
          <w:rFonts w:ascii="Arial" w:hAnsi="Arial" w:cs="Arial"/>
          <w:b/>
          <w:bCs/>
          <w:color w:val="FF0000"/>
        </w:rPr>
        <w:t xml:space="preserve"> </w:t>
      </w:r>
      <w:r>
        <w:rPr>
          <w:rFonts w:ascii="Arial" w:hAnsi="Arial" w:cs="Arial"/>
        </w:rPr>
        <w:t>15.821.199,99</w:t>
      </w:r>
      <w:r>
        <w:rPr>
          <w:rFonts w:ascii="Arial" w:hAnsi="Arial" w:cs="Arial"/>
          <w:color w:val="FF0000"/>
        </w:rPr>
        <w:t>.</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color w:val="FF0000"/>
        </w:rPr>
        <w:tab/>
      </w:r>
      <w:r>
        <w:rPr>
          <w:rFonts w:ascii="Arial" w:hAnsi="Arial" w:cs="Arial"/>
        </w:rPr>
        <w:t>Quest'importo permette una copertura del servizio pari al 100% in ragione del rapporto tra entrate dirette del servizio e le relative spese.</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color w:val="FF0000"/>
        </w:rPr>
      </w:pPr>
      <w:r>
        <w:rPr>
          <w:rFonts w:ascii="Arial" w:hAnsi="Arial" w:cs="Arial"/>
        </w:rPr>
        <w:tab/>
        <w:t>Il relativo regolamento ha stabilito tra l'altro i criteri di determinazione delle tariffe, la classificazione del</w:t>
      </w:r>
      <w:r>
        <w:rPr>
          <w:rFonts w:ascii="Arial" w:hAnsi="Arial" w:cs="Arial"/>
        </w:rPr>
        <w:t>le categorie di attività con omogenea potenzialità di produzione di rifiuti, le esenzioni e riduzioni, mentre la determinazione delle tariffe è fissata con proposta deliberazione</w:t>
      </w:r>
      <w:r>
        <w:rPr>
          <w:rFonts w:ascii="Arial" w:hAnsi="Arial" w:cs="Arial"/>
          <w:color w:val="FF0000"/>
        </w:rPr>
        <w:t xml:space="preserve"> </w:t>
      </w:r>
      <w:r>
        <w:rPr>
          <w:rFonts w:ascii="Arial" w:hAnsi="Arial" w:cs="Arial"/>
        </w:rPr>
        <w:t>di Consiglio Comunale all'uopo predisposta.</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t xml:space="preserve">E’ bene rammentare che la legge </w:t>
      </w:r>
      <w:r>
        <w:rPr>
          <w:rFonts w:ascii="Arial" w:hAnsi="Arial" w:cs="Arial"/>
        </w:rPr>
        <w:t xml:space="preserve">di stabilità per il 2016 ha prorogato a tutto il 2017 la possibilità di adottare coefficienti di produzione che si discostino dai valori minimi o massimi di non oltre il 50%. Analogamente è data la possibilità, fino a tutto il 2017, di non considerare per </w:t>
      </w:r>
      <w:r>
        <w:rPr>
          <w:rFonts w:ascii="Arial" w:hAnsi="Arial" w:cs="Arial"/>
        </w:rPr>
        <w:t>le utenze domestiche il numero dei componenti la famiglia.</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I coefficienti di produzione sono individuati dal decreto Ronchi, il D. Lgs. 158/1999, ed incidono sul calcolo della tariffa: la deroga che il legislatore della legge di stabilità estende a tutto i</w:t>
      </w:r>
      <w:r>
        <w:rPr>
          <w:rFonts w:ascii="Arial" w:hAnsi="Arial" w:cs="Arial"/>
        </w:rPr>
        <w:t>l 2017 permette di evitare di concentrare in pochi anni l’aumento delle tariffe che la TARI porta con sé.</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color w:val="000080"/>
          <w:u w:val="single"/>
        </w:rPr>
      </w:pPr>
      <w:r>
        <w:rPr>
          <w:rFonts w:ascii="Arial" w:hAnsi="Arial" w:cs="Arial"/>
          <w:b/>
          <w:bCs/>
          <w:color w:val="000080"/>
          <w:u w:val="single"/>
        </w:rPr>
        <w:t>Addizionale IRPEF</w:t>
      </w:r>
    </w:p>
    <w:p w:rsidR="00E8351D" w:rsidRDefault="00872F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1134" w:right="170"/>
        <w:jc w:val="both"/>
        <w:rPr>
          <w:rFonts w:ascii="Arial" w:hAnsi="Arial" w:cs="Arial"/>
        </w:rPr>
      </w:pPr>
      <w:r>
        <w:rPr>
          <w:rFonts w:ascii="Arial" w:hAnsi="Arial" w:cs="Arial"/>
        </w:rPr>
        <w:tab/>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rPr>
      </w:pPr>
      <w:r>
        <w:rPr>
          <w:rFonts w:ascii="Arial" w:hAnsi="Arial" w:cs="Arial"/>
        </w:rPr>
        <w:tab/>
        <w:t xml:space="preserve">L'aliquota dell'addizionale comunale per l'anno 2017 è pari allo 0.8% </w:t>
      </w:r>
      <w:bookmarkStart w:id="0" w:name="_GoBack"/>
      <w:bookmarkEnd w:id="0"/>
      <w:r>
        <w:rPr>
          <w:rFonts w:ascii="Arial" w:hAnsi="Arial" w:cs="Arial"/>
          <w:color w:val="000000"/>
        </w:rPr>
        <w:t xml:space="preserve">nel rispetto del disposto della legge di stabilità </w:t>
      </w:r>
      <w:r>
        <w:rPr>
          <w:rFonts w:ascii="Arial" w:hAnsi="Arial" w:cs="Arial"/>
          <w:color w:val="000000"/>
        </w:rPr>
        <w:t>che ha espressamente riconfermato il divieto di deliberare aumenti dei tributi e delle addizionali disponendo la sospensione dell’efficacia delle delibere adottate in tal senso.</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rPr>
      </w:pPr>
      <w:r>
        <w:rPr>
          <w:rFonts w:ascii="Arial" w:hAnsi="Arial" w:cs="Arial"/>
        </w:rPr>
        <w:tab/>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i/>
          <w:iCs/>
          <w:u w:val="single"/>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rPr>
      </w:pPr>
      <w:r>
        <w:rPr>
          <w:rFonts w:ascii="Arial" w:hAnsi="Arial" w:cs="Arial"/>
          <w:b/>
          <w:bCs/>
          <w:color w:val="000080"/>
          <w:u w:val="single"/>
        </w:rPr>
        <w:t>TOSAP</w:t>
      </w:r>
      <w:r>
        <w:rPr>
          <w:rFonts w:ascii="Arial" w:hAnsi="Arial" w:cs="Arial"/>
          <w:b/>
          <w:bCs/>
        </w:rPr>
        <w:t xml:space="preserve"> </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t>La tassa è determinata da specifica deliberazione allegata alla del</w:t>
      </w:r>
      <w:r>
        <w:rPr>
          <w:rFonts w:ascii="Arial" w:hAnsi="Arial" w:cs="Arial"/>
        </w:rPr>
        <w:t>ibera di approvazione del bilancio nei limiti fissati dal D.Lgs. n. 507/93.</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color w:val="FF0000"/>
        </w:rPr>
      </w:pPr>
      <w:r>
        <w:rPr>
          <w:rFonts w:ascii="Arial" w:hAnsi="Arial" w:cs="Arial"/>
        </w:rPr>
        <w:tab/>
        <w:t>Tenendo conto delle entrate degli anni precedenti, e sulla scorta delle previsioni effettuate dall’ufficio competente sulla base delle concessioni rilasciate, è stato previsto uno</w:t>
      </w:r>
      <w:r>
        <w:rPr>
          <w:rFonts w:ascii="Arial" w:hAnsi="Arial" w:cs="Arial"/>
        </w:rPr>
        <w:t xml:space="preserve"> stanziamento di</w:t>
      </w:r>
      <w:r>
        <w:rPr>
          <w:rFonts w:ascii="Arial" w:hAnsi="Arial" w:cs="Arial"/>
          <w:color w:val="FF0000"/>
        </w:rPr>
        <w:t xml:space="preserve"> </w:t>
      </w:r>
      <w:r>
        <w:rPr>
          <w:rFonts w:ascii="Arial" w:hAnsi="Arial" w:cs="Arial"/>
        </w:rPr>
        <w:t>€ 350.000,00</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rPr>
      </w:pPr>
      <w:r>
        <w:rPr>
          <w:rFonts w:ascii="Arial" w:hAnsi="Arial" w:cs="Arial"/>
          <w:b/>
          <w:bCs/>
          <w:color w:val="000080"/>
          <w:u w:val="single"/>
        </w:rPr>
        <w:t>Imposta di pubblicità e diritti sulle pubbliche affissioni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rPr>
      </w:pPr>
      <w:r>
        <w:rPr>
          <w:rFonts w:ascii="Arial" w:hAnsi="Arial" w:cs="Arial"/>
        </w:rPr>
        <w:tab/>
        <w:t>La tassa è determinata da specifica deliberazione allegata alla delibera di approvazione del bilancio nei limiti fissati dal D.Lgs. n. 507/93.</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color w:val="FF0000"/>
        </w:rPr>
      </w:pPr>
      <w:r>
        <w:rPr>
          <w:rFonts w:ascii="Arial" w:hAnsi="Arial" w:cs="Arial"/>
        </w:rPr>
        <w:tab/>
        <w:t xml:space="preserve">Tenendo conto delle </w:t>
      </w:r>
      <w:r>
        <w:rPr>
          <w:rFonts w:ascii="Arial" w:hAnsi="Arial" w:cs="Arial"/>
        </w:rPr>
        <w:t>entrate degli anni precedenti, e sulla scorta delle previsioni effettuate dall’ufficio competente, è stato previsto uno stanziamento di Euro 150.000,00.</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color w:val="FF0000"/>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170"/>
        <w:jc w:val="both"/>
        <w:rPr>
          <w:rFonts w:ascii="Arial" w:hAnsi="Arial" w:cs="Arial"/>
          <w:b/>
          <w:bCs/>
          <w:u w:val="single"/>
        </w:rPr>
      </w:pPr>
      <w:r>
        <w:rPr>
          <w:rFonts w:ascii="Arial" w:hAnsi="Arial" w:cs="Arial"/>
          <w:b/>
          <w:bCs/>
          <w:color w:val="000080"/>
          <w:u w:val="single"/>
        </w:rPr>
        <w:t>Fondo di solidarietà comunale</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rPr>
      </w:pPr>
      <w:r>
        <w:rPr>
          <w:rFonts w:ascii="Arial" w:hAnsi="Arial" w:cs="Arial"/>
        </w:rPr>
        <w:tab/>
        <w:t xml:space="preserve">Il fondo di solidarietà comunale è stato incrementato di un importo </w:t>
      </w:r>
      <w:r>
        <w:rPr>
          <w:rFonts w:ascii="Arial" w:hAnsi="Arial" w:cs="Arial"/>
        </w:rPr>
        <w:t>pari al mancato gettito dovuto alle esenzioni/agevolazioni IMU e TASI introdotte con la legge di stabilità per il 2016.</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rPr>
      </w:pPr>
      <w:r>
        <w:rPr>
          <w:rFonts w:ascii="Arial" w:hAnsi="Arial" w:cs="Arial"/>
        </w:rPr>
        <w:t>Anche per il 2017 è prevista una quota del Fondo di Solidarietà Comunale da accantonare per essere ripartita sulla base della differenza</w:t>
      </w:r>
      <w:r>
        <w:rPr>
          <w:rFonts w:ascii="Arial" w:hAnsi="Arial" w:cs="Arial"/>
        </w:rPr>
        <w:t xml:space="preserve"> tra capacità fiscali e fabbisogni standard: tale quota è pari al 40% per l’anno 2017 e al 55% per l’anno 2018.</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Times New Roman" w:hAnsi="Times New Roman" w:cs="Times New Roman"/>
        </w:rPr>
      </w:pPr>
      <w:r>
        <w:rPr>
          <w:rFonts w:ascii="Arial" w:hAnsi="Arial" w:cs="Arial"/>
        </w:rPr>
        <w:t>Per attutire gli effetti di tale criterio di riparto , la legge di bilancio introduce un correttivo che prende a riferimento la variazione delle</w:t>
      </w:r>
      <w:r>
        <w:rPr>
          <w:rFonts w:ascii="Arial" w:hAnsi="Arial" w:cs="Arial"/>
        </w:rPr>
        <w:t xml:space="preserve"> risorse di riferimento (date dal gettito ad aliquote standard dell’IMU e della TASI e dalla dotazione netta del fondo di solidarietà comunale). Infatti se la variazione è superiore all’8% viene applicato un correttivo che limita la predetta variazione. A </w:t>
      </w:r>
      <w:r>
        <w:rPr>
          <w:rFonts w:ascii="Arial" w:hAnsi="Arial" w:cs="Arial"/>
        </w:rPr>
        <w:t>tal fine nell’ambito del fondo di solidarietà comunale viene costituito un accantonamento alimentato dai comuni che registrano un incremento delle risorse complessivo rispetto all’anno precedente superiore all’8%. L’accantonamento è successivamente riparti</w:t>
      </w:r>
      <w:r>
        <w:rPr>
          <w:rFonts w:ascii="Arial" w:hAnsi="Arial" w:cs="Arial"/>
        </w:rPr>
        <w:t>to proporzionalmente tra i comuni che registrano un riduzione delle risorse complessive rispetto all’anno precedente superiore all’8%.</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rPr>
      </w:pPr>
      <w:r>
        <w:rPr>
          <w:rFonts w:ascii="Arial" w:hAnsi="Arial" w:cs="Arial"/>
        </w:rPr>
        <w:tab/>
        <w:t>Le previsioni sono state effettuate sulla base delle comunicazioni rilasciate sul sito delle finanze locale al link www.</w:t>
      </w:r>
      <w:r>
        <w:rPr>
          <w:rFonts w:ascii="Arial" w:hAnsi="Arial" w:cs="Arial"/>
        </w:rPr>
        <w:t>finanzalocale.interno.it</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170"/>
        <w:jc w:val="both"/>
        <w:rPr>
          <w:rFonts w:ascii="Arial" w:hAnsi="Arial" w:cs="Arial"/>
          <w:b/>
          <w:bCs/>
        </w:rPr>
      </w:pPr>
    </w:p>
    <w:p w:rsidR="00E8351D" w:rsidRDefault="00E8351D">
      <w:pPr>
        <w:widowControl w:val="0"/>
        <w:spacing w:after="0" w:line="240" w:lineRule="auto"/>
        <w:ind w:left="1133" w:right="226"/>
        <w:jc w:val="both"/>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b/>
                <w:bCs/>
                <w:color w:val="000080"/>
                <w:sz w:val="24"/>
                <w:szCs w:val="24"/>
              </w:rPr>
            </w:pPr>
            <w:r>
              <w:rPr>
                <w:rFonts w:ascii="Arial" w:hAnsi="Arial" w:cs="Arial"/>
                <w:b/>
                <w:bCs/>
                <w:color w:val="000080"/>
                <w:sz w:val="24"/>
                <w:szCs w:val="24"/>
              </w:rPr>
              <w:t>1.3 Analisi delle voci di entrata più significative del titolo 2^</w:t>
            </w:r>
          </w:p>
        </w:tc>
      </w:tr>
    </w:tbl>
    <w:p w:rsidR="00E8351D" w:rsidRDefault="00E8351D">
      <w:pPr>
        <w:widowControl w:val="0"/>
        <w:spacing w:after="0" w:line="240" w:lineRule="auto"/>
        <w:ind w:left="1133" w:right="226"/>
        <w:rPr>
          <w:rFonts w:ascii="Arial" w:hAnsi="Arial" w:cs="Arial"/>
        </w:rPr>
      </w:pPr>
    </w:p>
    <w:p w:rsidR="00E8351D" w:rsidRDefault="00872F84">
      <w:pPr>
        <w:widowControl w:val="0"/>
        <w:tabs>
          <w:tab w:val="left" w:pos="1417"/>
        </w:tabs>
        <w:spacing w:after="0" w:line="240" w:lineRule="auto"/>
        <w:ind w:left="1133" w:right="226"/>
        <w:jc w:val="both"/>
        <w:rPr>
          <w:rFonts w:ascii="Arial" w:hAnsi="Arial" w:cs="Arial"/>
        </w:rPr>
      </w:pPr>
      <w:r>
        <w:rPr>
          <w:rFonts w:ascii="Arial" w:hAnsi="Arial" w:cs="Arial"/>
        </w:rPr>
        <w:tab/>
        <w:t xml:space="preserve">Anche per il titolo 2^ si ritiene opportuno fornire alcune specificazioni su talune categorie di entrata sia in merito all’entità dei trasferimenti erogati che </w:t>
      </w:r>
      <w:r>
        <w:rPr>
          <w:rFonts w:ascii="Arial" w:hAnsi="Arial" w:cs="Arial"/>
        </w:rPr>
        <w:t>alla destinazione degli stessi. In particolare, fermo restando che dette somme non potranno essere finalizzate ad investimenti, si precisa che:</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b/>
          <w:bCs/>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b/>
          <w:bCs/>
        </w:rPr>
      </w:pPr>
      <w:r>
        <w:rPr>
          <w:rFonts w:ascii="Arial" w:hAnsi="Arial" w:cs="Arial"/>
          <w:b/>
          <w:bCs/>
          <w:color w:val="000080"/>
          <w:u w:val="single"/>
        </w:rPr>
        <w:t>Trasferimenti correnti da amministrazioni pubbliche centrali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i/>
          <w:iCs/>
        </w:rPr>
      </w:pPr>
      <w:r>
        <w:rPr>
          <w:rFonts w:ascii="Arial" w:hAnsi="Arial" w:cs="Arial"/>
        </w:rPr>
        <w:tab/>
        <w:t xml:space="preserve">Con l’attuazione del federalismo fiscale (D.Lgs. </w:t>
      </w:r>
      <w:r>
        <w:rPr>
          <w:rFonts w:ascii="Arial" w:hAnsi="Arial" w:cs="Arial"/>
        </w:rPr>
        <w:t xml:space="preserve">n. 23/2011) si è proceduto fin dall’anno 2011 alla riduzione dei trasferimenti erariali in misura corrispondente al gettito che confluisce nel Fondo di solidarietà (c.d. </w:t>
      </w:r>
      <w:r>
        <w:rPr>
          <w:rFonts w:ascii="Arial" w:hAnsi="Arial" w:cs="Arial"/>
          <w:i/>
          <w:iCs/>
        </w:rPr>
        <w:t>fiscalizzazione dei trasferimenti</w:t>
      </w:r>
      <w:r>
        <w:rPr>
          <w:rFonts w:ascii="Arial" w:hAnsi="Arial" w:cs="Arial"/>
        </w:rPr>
        <w:t>). Pertanto la voce riporta esclusivamente i trasferi</w:t>
      </w:r>
      <w:r>
        <w:rPr>
          <w:rFonts w:ascii="Arial" w:hAnsi="Arial" w:cs="Arial"/>
        </w:rPr>
        <w:t xml:space="preserve">menti non fiscalizzati iscritti in bilancio sulla base degli importi desunti dalla </w:t>
      </w:r>
      <w:r>
        <w:rPr>
          <w:rFonts w:ascii="Arial" w:hAnsi="Arial" w:cs="Arial"/>
          <w:i/>
          <w:iCs/>
        </w:rPr>
        <w:t>comunicazione del Ministero dell'Interno rilevabile sul sito Internet.</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i/>
          <w:iCs/>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iCs/>
        </w:rPr>
      </w:pPr>
      <w:r>
        <w:rPr>
          <w:rFonts w:ascii="Arial" w:hAnsi="Arial" w:cs="Arial"/>
          <w:iCs/>
        </w:rPr>
        <w:t>Per gli altri trasferimenti si tratta principalmente di finanziamenti vincolati che finanziano voci d</w:t>
      </w:r>
      <w:r>
        <w:rPr>
          <w:rFonts w:ascii="Arial" w:hAnsi="Arial" w:cs="Arial"/>
          <w:iCs/>
        </w:rPr>
        <w:t>i spesa previste per gli importi corrispondenti.</w:t>
      </w:r>
    </w:p>
    <w:p w:rsidR="00E8351D" w:rsidRDefault="00872F84">
      <w:pPr>
        <w:widowControl w:val="0"/>
        <w:spacing w:after="0" w:line="240" w:lineRule="auto"/>
        <w:ind w:left="1133" w:right="226"/>
        <w:rPr>
          <w:rFonts w:ascii="Arial" w:hAnsi="Arial" w:cs="Arial"/>
          <w:i/>
          <w:iCs/>
          <w:u w:val="single"/>
        </w:rPr>
      </w:pPr>
      <w:r>
        <w:rPr>
          <w:rFonts w:ascii="Arial" w:hAnsi="Arial" w:cs="Arial"/>
        </w:rPr>
        <w:tab/>
      </w:r>
    </w:p>
    <w:p w:rsidR="00E8351D" w:rsidRDefault="00E8351D">
      <w:pPr>
        <w:widowControl w:val="0"/>
        <w:spacing w:after="0" w:line="240" w:lineRule="auto"/>
        <w:ind w:right="226"/>
        <w:rPr>
          <w:rFonts w:ascii="Arial" w:hAnsi="Arial" w:cs="Arial"/>
        </w:rPr>
      </w:pPr>
    </w:p>
    <w:p w:rsidR="00E8351D" w:rsidRDefault="00E8351D">
      <w:pPr>
        <w:widowControl w:val="0"/>
        <w:spacing w:after="0" w:line="240" w:lineRule="auto"/>
        <w:ind w:left="1133" w:right="226"/>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i/>
                <w:iCs/>
                <w:color w:val="000080"/>
              </w:rPr>
            </w:pPr>
            <w:r>
              <w:rPr>
                <w:rFonts w:ascii="Arial" w:hAnsi="Arial" w:cs="Arial"/>
                <w:b/>
                <w:bCs/>
                <w:color w:val="000080"/>
                <w:sz w:val="24"/>
                <w:szCs w:val="24"/>
              </w:rPr>
              <w:t>1.4 Analisi delle voci di entrata più significative del titolo 3^</w:t>
            </w:r>
          </w:p>
        </w:tc>
      </w:tr>
    </w:tbl>
    <w:p w:rsidR="00E8351D" w:rsidRDefault="00E8351D">
      <w:pPr>
        <w:widowControl w:val="0"/>
        <w:spacing w:after="0" w:line="240" w:lineRule="auto"/>
        <w:ind w:left="1133" w:right="226"/>
        <w:jc w:val="both"/>
        <w:rPr>
          <w:rFonts w:ascii="Arial" w:hAnsi="Arial" w:cs="Arial"/>
        </w:rPr>
      </w:pPr>
    </w:p>
    <w:p w:rsidR="00E8351D" w:rsidRDefault="00872F84">
      <w:pPr>
        <w:widowControl w:val="0"/>
        <w:spacing w:after="0" w:line="240" w:lineRule="auto"/>
        <w:ind w:left="1133" w:right="226"/>
        <w:jc w:val="both"/>
        <w:rPr>
          <w:rFonts w:ascii="Arial" w:hAnsi="Arial" w:cs="Arial"/>
          <w:b/>
          <w:bCs/>
          <w:color w:val="000000"/>
          <w:u w:val="single"/>
        </w:rPr>
      </w:pPr>
      <w:r>
        <w:rPr>
          <w:rFonts w:ascii="Arial" w:hAnsi="Arial" w:cs="Arial"/>
          <w:b/>
          <w:bCs/>
          <w:color w:val="000080"/>
          <w:u w:val="single"/>
        </w:rPr>
        <w:t>Entrate da servizi dell'ente</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color w:val="000000"/>
        </w:rPr>
      </w:pPr>
      <w:r>
        <w:rPr>
          <w:rFonts w:ascii="Arial" w:hAnsi="Arial" w:cs="Arial"/>
          <w:color w:val="000000"/>
        </w:rPr>
        <w:tab/>
      </w:r>
      <w:r>
        <w:rPr>
          <w:rFonts w:ascii="Arial" w:hAnsi="Arial" w:cs="Arial"/>
          <w:color w:val="000000"/>
        </w:rPr>
        <w:t>La tipologia 100, riassume l'insieme dei servizi istituzionali, a domanda individuale e produttivi, erogati dall'ente nei confronti della collettività amministrata. Poiché non sempre questi vengono gestiti direttamente dal comune, il rapporto di partecipaz</w:t>
      </w:r>
      <w:r>
        <w:rPr>
          <w:rFonts w:ascii="Arial" w:hAnsi="Arial" w:cs="Arial"/>
          <w:color w:val="000000"/>
        </w:rPr>
        <w:t xml:space="preserve">ione della tipologia 100 al totale del titolo 3^ deve essere oggetto di approfondimenti, in caso di scostamenti sensibili, al fine di accertare se si sono verificati: </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417" w:right="226"/>
        <w:jc w:val="both"/>
        <w:rPr>
          <w:rFonts w:ascii="Arial" w:hAnsi="Arial" w:cs="Arial"/>
          <w:color w:val="000000"/>
        </w:rPr>
      </w:pPr>
      <w:r>
        <w:rPr>
          <w:rFonts w:ascii="Arial" w:hAnsi="Arial" w:cs="Arial"/>
          <w:color w:val="000000"/>
        </w:rPr>
        <w:t>a) incrementi o decrementi del numero dei servizi offerti;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417" w:right="226"/>
        <w:jc w:val="both"/>
        <w:rPr>
          <w:rFonts w:ascii="Arial" w:hAnsi="Arial" w:cs="Arial"/>
          <w:color w:val="000000"/>
        </w:rPr>
      </w:pPr>
      <w:r>
        <w:rPr>
          <w:rFonts w:ascii="Arial" w:hAnsi="Arial" w:cs="Arial"/>
          <w:color w:val="000000"/>
        </w:rPr>
        <w:t xml:space="preserve">b) modifiche nella forma di </w:t>
      </w:r>
      <w:r>
        <w:rPr>
          <w:rFonts w:ascii="Arial" w:hAnsi="Arial" w:cs="Arial"/>
          <w:color w:val="000000"/>
        </w:rPr>
        <w:t>gestione dei servizi;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417" w:right="226"/>
        <w:jc w:val="both"/>
        <w:rPr>
          <w:rFonts w:ascii="Arial" w:hAnsi="Arial" w:cs="Arial"/>
          <w:color w:val="000000"/>
        </w:rPr>
      </w:pPr>
      <w:r>
        <w:rPr>
          <w:rFonts w:ascii="Arial" w:hAnsi="Arial" w:cs="Arial"/>
          <w:color w:val="000000"/>
        </w:rPr>
        <w:t>c) variazioni della qualità e quantità in ciascun servizio offerto.</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color w:val="000000"/>
        </w:rPr>
      </w:pPr>
      <w:r>
        <w:rPr>
          <w:rFonts w:ascii="Arial" w:hAnsi="Arial" w:cs="Arial"/>
          <w:color w:val="000000"/>
        </w:rPr>
        <w:tab/>
        <w:t>Inoltre, l'analisi sulla redditività dei servizi deve essere effettuata considerando anche la tipologia 400 che misura le gestioni di servizi effettuate attraverso o</w:t>
      </w:r>
      <w:r>
        <w:rPr>
          <w:rFonts w:ascii="Arial" w:hAnsi="Arial" w:cs="Arial"/>
          <w:color w:val="000000"/>
        </w:rPr>
        <w:t>rganismi esterni aventi autonomia giuridica o finanziaria.</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color w:val="000000"/>
        </w:rPr>
      </w:pPr>
      <w:r>
        <w:rPr>
          <w:rFonts w:ascii="Arial" w:hAnsi="Arial" w:cs="Arial"/>
          <w:color w:val="000000"/>
        </w:rPr>
        <w:t>Ne consegue che detto valore deve essere oggetto di confronto congiunto con il primo, cioè con quello relativo ai servizi gestiti in economia, al fine di trarre un giudizio complessivo sull'andamen</w:t>
      </w:r>
      <w:r>
        <w:rPr>
          <w:rFonts w:ascii="Arial" w:hAnsi="Arial" w:cs="Arial"/>
          <w:color w:val="000000"/>
        </w:rPr>
        <w:t xml:space="preserve">to dei servizi a domanda individuale e produttivi attivati dall'ente. </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color w:val="000000"/>
        </w:rPr>
      </w:pPr>
      <w:r>
        <w:rPr>
          <w:rFonts w:ascii="Arial" w:hAnsi="Arial" w:cs="Arial"/>
          <w:color w:val="000000"/>
        </w:rPr>
        <w:tab/>
      </w:r>
    </w:p>
    <w:p w:rsidR="00E8351D" w:rsidRDefault="00E8351D">
      <w:pPr>
        <w:widowControl w:val="0"/>
        <w:spacing w:after="0" w:line="240" w:lineRule="auto"/>
        <w:ind w:right="226"/>
        <w:rPr>
          <w:rFonts w:ascii="Arial" w:hAnsi="Arial" w:cs="Arial"/>
        </w:rPr>
      </w:pPr>
    </w:p>
    <w:p w:rsidR="00E8351D" w:rsidRDefault="00E8351D">
      <w:pPr>
        <w:widowControl w:val="0"/>
        <w:spacing w:after="0" w:line="240" w:lineRule="auto"/>
        <w:ind w:right="226" w:firstLine="1133"/>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b/>
                <w:bCs/>
                <w:color w:val="000080"/>
                <w:sz w:val="24"/>
                <w:szCs w:val="24"/>
              </w:rPr>
            </w:pPr>
            <w:r>
              <w:rPr>
                <w:rFonts w:ascii="Arial" w:hAnsi="Arial" w:cs="Arial"/>
                <w:b/>
                <w:bCs/>
                <w:color w:val="000080"/>
                <w:sz w:val="24"/>
                <w:szCs w:val="24"/>
              </w:rPr>
              <w:t>1.5 Analisi delle voci più significative di entrata del titolo 4^</w:t>
            </w:r>
          </w:p>
        </w:tc>
      </w:tr>
    </w:tbl>
    <w:p w:rsidR="00E8351D" w:rsidRDefault="00E8351D">
      <w:pPr>
        <w:widowControl w:val="0"/>
        <w:spacing w:after="0" w:line="240" w:lineRule="auto"/>
        <w:ind w:left="1133" w:right="226"/>
        <w:jc w:val="both"/>
        <w:rPr>
          <w:rFonts w:ascii="Arial" w:hAnsi="Arial" w:cs="Arial"/>
        </w:rPr>
      </w:pPr>
    </w:p>
    <w:p w:rsidR="00E8351D" w:rsidRDefault="00872F84">
      <w:pPr>
        <w:widowControl w:val="0"/>
        <w:tabs>
          <w:tab w:val="left" w:pos="1417"/>
        </w:tabs>
        <w:spacing w:after="0" w:line="240" w:lineRule="auto"/>
        <w:ind w:left="1133" w:right="226"/>
        <w:jc w:val="both"/>
        <w:rPr>
          <w:rFonts w:ascii="Arial" w:hAnsi="Arial" w:cs="Arial"/>
          <w:color w:val="000000"/>
        </w:rPr>
      </w:pPr>
      <w:r>
        <w:rPr>
          <w:rFonts w:ascii="Arial" w:hAnsi="Arial" w:cs="Arial"/>
          <w:color w:val="000000"/>
        </w:rPr>
        <w:tab/>
        <w:t xml:space="preserve">Per quanto riguarda le principali voci che partecipano alla determinazione dell’importo di ciascuna tipologia </w:t>
      </w:r>
      <w:r>
        <w:rPr>
          <w:rFonts w:ascii="Arial" w:hAnsi="Arial" w:cs="Arial"/>
          <w:color w:val="000000"/>
        </w:rPr>
        <w:t>del titolo 4 riportata nel bilancio di previsione 2017, si precisa che le somme riportate partecipano alla definizione del complesso di risorse che finanziano il programma triennale dei lavori pubblici.</w:t>
      </w:r>
    </w:p>
    <w:p w:rsidR="00E8351D" w:rsidRDefault="00E8351D">
      <w:pPr>
        <w:widowControl w:val="0"/>
        <w:spacing w:after="0" w:line="240" w:lineRule="auto"/>
        <w:ind w:left="1133" w:right="226"/>
        <w:jc w:val="both"/>
        <w:rPr>
          <w:rFonts w:ascii="Arial" w:hAnsi="Arial" w:cs="Arial"/>
          <w:b/>
          <w:bCs/>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b/>
          <w:bCs/>
          <w:color w:val="000080"/>
          <w:u w:val="single"/>
        </w:rPr>
      </w:pPr>
      <w:r>
        <w:rPr>
          <w:rFonts w:ascii="Arial" w:hAnsi="Arial" w:cs="Arial"/>
          <w:b/>
          <w:bCs/>
          <w:color w:val="000080"/>
          <w:u w:val="single"/>
        </w:rPr>
        <w:t>Alienazione di beni patrimoniali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color w:val="000000"/>
        </w:rPr>
      </w:pPr>
      <w:r>
        <w:rPr>
          <w:rFonts w:ascii="Arial" w:hAnsi="Arial" w:cs="Arial"/>
          <w:color w:val="000000"/>
        </w:rPr>
        <w:tab/>
        <w:t xml:space="preserve">I beni dell’ente, </w:t>
      </w:r>
      <w:r>
        <w:rPr>
          <w:rFonts w:ascii="Arial" w:hAnsi="Arial" w:cs="Arial"/>
          <w:color w:val="000000"/>
        </w:rPr>
        <w:t>ricompresi nella tipologia 400, per i quali si prevede l’alienazione, sono riportati di seguito unitamente al valore stimato dall’Ufficio tecnico comunale.</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Detti valori sono stati previsti nel Piano Triennale delle Valorizzazioni ed alienazioni inserito n</w:t>
      </w:r>
      <w:r>
        <w:rPr>
          <w:rFonts w:ascii="Arial" w:hAnsi="Arial" w:cs="Arial"/>
        </w:rPr>
        <w:t>el Documento Unico di Programmazione e nell’apposita scheda del Programma triennale dei lavori pubblici (anch’esso inserito nel Documento Unico di Programmazione).</w:t>
      </w:r>
    </w:p>
    <w:p w:rsidR="00E8351D" w:rsidRDefault="00E8351D">
      <w:pPr>
        <w:widowControl w:val="0"/>
        <w:spacing w:after="0" w:line="240" w:lineRule="auto"/>
        <w:ind w:left="1133" w:right="226"/>
        <w:rPr>
          <w:rFonts w:ascii="Arial" w:hAnsi="Arial" w:cs="Arial"/>
        </w:rPr>
      </w:pPr>
    </w:p>
    <w:tbl>
      <w:tblPr>
        <w:tblW w:w="10304" w:type="dxa"/>
        <w:tblInd w:w="-15" w:type="dxa"/>
        <w:tblBorders>
          <w:top w:val="single" w:sz="8" w:space="0" w:color="00000A"/>
          <w:left w:val="single" w:sz="6" w:space="0" w:color="00000A"/>
          <w:bottom w:val="single" w:sz="8" w:space="0" w:color="00000A"/>
          <w:right w:val="single" w:sz="6" w:space="0" w:color="00000A"/>
          <w:insideH w:val="single" w:sz="8" w:space="0" w:color="00000A"/>
          <w:insideV w:val="single" w:sz="6" w:space="0" w:color="00000A"/>
        </w:tblBorders>
        <w:tblCellMar>
          <w:top w:w="170" w:type="dxa"/>
          <w:left w:w="35" w:type="dxa"/>
          <w:bottom w:w="170" w:type="dxa"/>
          <w:right w:w="51" w:type="dxa"/>
        </w:tblCellMar>
        <w:tblLook w:val="0000" w:firstRow="0" w:lastRow="0" w:firstColumn="0" w:lastColumn="0" w:noHBand="0" w:noVBand="0"/>
      </w:tblPr>
      <w:tblGrid>
        <w:gridCol w:w="7740"/>
        <w:gridCol w:w="2564"/>
      </w:tblGrid>
      <w:tr w:rsidR="00E8351D">
        <w:tc>
          <w:tcPr>
            <w:tcW w:w="7739"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lastRenderedPageBreak/>
              <w:t>Alienazione di beni (Tit. IV - Tip. 400)</w:t>
            </w:r>
          </w:p>
        </w:tc>
        <w:tc>
          <w:tcPr>
            <w:tcW w:w="2564"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pPr>
            <w:r>
              <w:rPr>
                <w:rFonts w:ascii="Arial" w:hAnsi="Arial" w:cs="Arial"/>
                <w:b/>
                <w:bCs/>
                <w:color w:val="000080"/>
                <w:sz w:val="16"/>
                <w:szCs w:val="16"/>
              </w:rPr>
              <w:t>5.511.864,40</w:t>
            </w:r>
          </w:p>
        </w:tc>
      </w:tr>
      <w:tr w:rsidR="00E8351D">
        <w:tc>
          <w:tcPr>
            <w:tcW w:w="7739"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rPr>
                <w:rFonts w:ascii="Arial" w:hAnsi="Arial" w:cs="Arial"/>
                <w:sz w:val="12"/>
                <w:szCs w:val="12"/>
              </w:rPr>
            </w:pPr>
          </w:p>
        </w:tc>
        <w:tc>
          <w:tcPr>
            <w:tcW w:w="2564"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r>
      <w:tr w:rsidR="00E8351D">
        <w:tc>
          <w:tcPr>
            <w:tcW w:w="7739" w:type="dxa"/>
            <w:tcBorders>
              <w:top w:val="single" w:sz="6" w:space="0" w:color="00000A"/>
              <w:left w:val="single" w:sz="6" w:space="0" w:color="00000A"/>
              <w:bottom w:val="single" w:sz="8" w:space="0" w:color="00000A"/>
              <w:right w:val="single" w:sz="6" w:space="0" w:color="00000A"/>
            </w:tcBorders>
            <w:shd w:val="clear" w:color="auto" w:fill="auto"/>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 xml:space="preserve"> </w:t>
            </w:r>
          </w:p>
        </w:tc>
        <w:tc>
          <w:tcPr>
            <w:tcW w:w="2564" w:type="dxa"/>
            <w:tcBorders>
              <w:top w:val="single" w:sz="6" w:space="0" w:color="00000A"/>
              <w:left w:val="single" w:sz="6" w:space="0" w:color="00000A"/>
              <w:bottom w:val="single" w:sz="8" w:space="0" w:color="00000A"/>
              <w:right w:val="single" w:sz="6" w:space="0" w:color="00000A"/>
            </w:tcBorders>
            <w:shd w:val="clear" w:color="auto" w:fill="auto"/>
            <w:tcMar>
              <w:left w:w="42" w:type="dxa"/>
            </w:tcMar>
            <w:vAlign w:val="bottom"/>
          </w:tcPr>
          <w:p w:rsidR="00E8351D" w:rsidRDefault="00872F84">
            <w:pPr>
              <w:widowControl w:val="0"/>
              <w:spacing w:after="0" w:line="240" w:lineRule="auto"/>
              <w:jc w:val="right"/>
              <w:rPr>
                <w:rFonts w:ascii="Arial" w:hAnsi="Arial" w:cs="Arial"/>
                <w:sz w:val="14"/>
                <w:szCs w:val="14"/>
              </w:rPr>
            </w:pPr>
            <w:r>
              <w:rPr>
                <w:rFonts w:ascii="Arial" w:hAnsi="Arial" w:cs="Arial"/>
                <w:sz w:val="14"/>
                <w:szCs w:val="14"/>
              </w:rPr>
              <w:t xml:space="preserve"> </w:t>
            </w:r>
          </w:p>
        </w:tc>
      </w:tr>
    </w:tbl>
    <w:p w:rsidR="00E8351D" w:rsidRDefault="00E8351D">
      <w:pPr>
        <w:widowControl w:val="0"/>
        <w:spacing w:after="0" w:line="240" w:lineRule="auto"/>
        <w:ind w:left="1133" w:right="226"/>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b/>
          <w:bCs/>
          <w:color w:val="000080"/>
          <w:u w:val="single"/>
        </w:rPr>
      </w:pPr>
      <w:r>
        <w:rPr>
          <w:rFonts w:ascii="Arial" w:hAnsi="Arial" w:cs="Arial"/>
          <w:b/>
          <w:bCs/>
          <w:color w:val="000080"/>
          <w:u w:val="single"/>
        </w:rPr>
        <w:t xml:space="preserve">Altre entrate in conto </w:t>
      </w:r>
      <w:r>
        <w:rPr>
          <w:rFonts w:ascii="Arial" w:hAnsi="Arial" w:cs="Arial"/>
          <w:b/>
          <w:bCs/>
          <w:color w:val="000080"/>
          <w:u w:val="single"/>
        </w:rPr>
        <w:t>capitale</w:t>
      </w:r>
    </w:p>
    <w:p w:rsidR="00E8351D" w:rsidRDefault="00872F84">
      <w:pPr>
        <w:widowControl w:val="0"/>
        <w:tabs>
          <w:tab w:val="left" w:pos="1417"/>
        </w:tabs>
        <w:spacing w:after="0" w:line="240" w:lineRule="auto"/>
        <w:ind w:left="1133" w:right="37"/>
        <w:jc w:val="both"/>
        <w:rPr>
          <w:rFonts w:ascii="Arial" w:hAnsi="Arial" w:cs="Arial"/>
        </w:rPr>
      </w:pPr>
      <w:r>
        <w:rPr>
          <w:rFonts w:ascii="Arial" w:hAnsi="Arial" w:cs="Arial"/>
        </w:rPr>
        <w:tab/>
        <w:t xml:space="preserve">Nella tipologia 500 rientrano i </w:t>
      </w:r>
      <w:r>
        <w:rPr>
          <w:rFonts w:ascii="Arial" w:hAnsi="Arial" w:cs="Arial"/>
          <w:i/>
          <w:iCs/>
        </w:rPr>
        <w:t xml:space="preserve">“proventi delle concessioni edilizie” </w:t>
      </w:r>
      <w:r>
        <w:rPr>
          <w:rFonts w:ascii="Arial" w:hAnsi="Arial" w:cs="Arial"/>
        </w:rPr>
        <w:t>e le relative sanzioni.</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jc w:val="both"/>
        <w:rPr>
          <w:rFonts w:ascii="Arial" w:hAnsi="Arial" w:cs="Arial"/>
        </w:rPr>
      </w:pPr>
      <w:r>
        <w:rPr>
          <w:rFonts w:ascii="Arial" w:hAnsi="Arial" w:cs="Arial"/>
        </w:rPr>
        <w:t>Nel nostro caso la quantificazione è stata effettuata sulla base delle rate in maturazione per le concessioni già rilasciate e dell'attuazione dei piani</w:t>
      </w:r>
      <w:r>
        <w:rPr>
          <w:rFonts w:ascii="Arial" w:hAnsi="Arial" w:cs="Arial"/>
        </w:rPr>
        <w:t xml:space="preserve"> pluriennali per le previsioni di nuove entrate nel 2017.</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jc w:val="both"/>
        <w:rPr>
          <w:rFonts w:ascii="Arial" w:hAnsi="Arial" w:cs="Arial"/>
          <w:color w:val="000000"/>
        </w:rPr>
      </w:pPr>
    </w:p>
    <w:p w:rsidR="00E8351D" w:rsidRDefault="00872F84">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jc w:val="both"/>
        <w:rPr>
          <w:rFonts w:ascii="Arial" w:hAnsi="Arial" w:cs="Arial"/>
        </w:rPr>
      </w:pPr>
      <w:r>
        <w:rPr>
          <w:rFonts w:ascii="Arial" w:hAnsi="Arial" w:cs="Arial"/>
        </w:rPr>
        <w:t xml:space="preserve">Il comma 737 della legge di stabilità per il 2016 consente di utilizzare </w:t>
      </w:r>
      <w:r>
        <w:rPr>
          <w:rFonts w:ascii="Arial" w:hAnsi="Arial" w:cs="Arial"/>
          <w:u w:val="single"/>
        </w:rPr>
        <w:t>integralmente,</w:t>
      </w:r>
      <w:r>
        <w:rPr>
          <w:rFonts w:ascii="Arial" w:hAnsi="Arial" w:cs="Arial"/>
        </w:rPr>
        <w:t xml:space="preserve"> i proventi delle concessioni edilizie e delle sanzioni previste dal Testo unico delle disposizioni legislativ</w:t>
      </w:r>
      <w:r>
        <w:rPr>
          <w:rFonts w:ascii="Arial" w:hAnsi="Arial" w:cs="Arial"/>
        </w:rPr>
        <w:t>e e regolamentari in materia edilizia (d.P.R. n. 380 del 2001) per spese di manutenzione ordinaria del verde, delle strade e del patrimonio comunale, nonché per spese di progettazione delle opere pubbliche. Si escludono dall'applicazione di tale disposizio</w:t>
      </w:r>
      <w:r>
        <w:rPr>
          <w:rFonts w:ascii="Arial" w:hAnsi="Arial" w:cs="Arial"/>
        </w:rPr>
        <w:t>ne le sanzioni di cui all'art. 31, comma 4-bis, dello stesso Testo unico, vale a dire le sanzioni irrogate in caso di inottemperanza accertata alla ingiunzione alla demolizione di interventi eseguiti in assenza di permesso di costruire, in totale difformit</w:t>
      </w:r>
      <w:r>
        <w:rPr>
          <w:rFonts w:ascii="Arial" w:hAnsi="Arial" w:cs="Arial"/>
        </w:rPr>
        <w:t>à da esso ovvero con variazioni essenziali.</w:t>
      </w:r>
    </w:p>
    <w:p w:rsidR="00E8351D" w:rsidRDefault="00E8351D">
      <w:pPr>
        <w:widowControl w:val="0"/>
        <w:tabs>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widowControl w:val="0"/>
        <w:spacing w:after="0" w:line="240" w:lineRule="auto"/>
        <w:rPr>
          <w:rFonts w:ascii="Arial" w:hAnsi="Arial" w:cs="Arial"/>
          <w:sz w:val="24"/>
          <w:szCs w:val="24"/>
        </w:rPr>
      </w:pPr>
      <w:r>
        <w:br w:type="page"/>
      </w: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ind w:left="2267" w:right="2267"/>
        <w:rPr>
          <w:rFonts w:ascii="Arial" w:hAnsi="Arial" w:cs="Arial"/>
          <w:sz w:val="24"/>
          <w:szCs w:val="24"/>
        </w:rPr>
      </w:pPr>
    </w:p>
    <w:tbl>
      <w:tblPr>
        <w:tblW w:w="5735" w:type="dxa"/>
        <w:tblInd w:w="2348" w:type="dxa"/>
        <w:tblCellMar>
          <w:left w:w="36" w:type="dxa"/>
          <w:right w:w="36" w:type="dxa"/>
        </w:tblCellMar>
        <w:tblLook w:val="0000" w:firstRow="0" w:lastRow="0" w:firstColumn="0" w:lastColumn="0" w:noHBand="0" w:noVBand="0"/>
      </w:tblPr>
      <w:tblGrid>
        <w:gridCol w:w="5735"/>
      </w:tblGrid>
      <w:tr w:rsidR="00E8351D">
        <w:tc>
          <w:tcPr>
            <w:tcW w:w="5735" w:type="dxa"/>
            <w:shd w:val="clear" w:color="auto" w:fill="D9D9D9"/>
          </w:tcPr>
          <w:p w:rsidR="00E8351D" w:rsidRDefault="00E8351D">
            <w:pPr>
              <w:widowControl w:val="0"/>
              <w:spacing w:after="0" w:line="240" w:lineRule="auto"/>
              <w:jc w:val="center"/>
              <w:rPr>
                <w:rFonts w:ascii="Arial" w:hAnsi="Arial" w:cs="Arial"/>
                <w:b/>
                <w:bCs/>
                <w:color w:val="000080"/>
                <w:sz w:val="72"/>
                <w:szCs w:val="72"/>
              </w:rPr>
            </w:pP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SECONDA</w:t>
            </w: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PARTE</w:t>
            </w:r>
          </w:p>
          <w:p w:rsidR="00E8351D" w:rsidRDefault="00E8351D">
            <w:pPr>
              <w:widowControl w:val="0"/>
              <w:spacing w:after="0" w:line="240" w:lineRule="auto"/>
              <w:jc w:val="center"/>
              <w:rPr>
                <w:rFonts w:ascii="Arial" w:hAnsi="Arial" w:cs="Arial"/>
                <w:color w:val="000080"/>
                <w:sz w:val="72"/>
                <w:szCs w:val="72"/>
              </w:rPr>
            </w:pPr>
          </w:p>
        </w:tc>
      </w:tr>
      <w:tr w:rsidR="00E8351D">
        <w:tc>
          <w:tcPr>
            <w:tcW w:w="5735" w:type="dxa"/>
            <w:shd w:val="clear" w:color="auto" w:fill="D9D9D9"/>
          </w:tcPr>
          <w:p w:rsidR="00E8351D" w:rsidRDefault="00E8351D">
            <w:pPr>
              <w:widowControl w:val="0"/>
              <w:spacing w:after="0" w:line="240" w:lineRule="auto"/>
              <w:rPr>
                <w:rFonts w:ascii="Arial" w:hAnsi="Arial" w:cs="Arial"/>
                <w:sz w:val="24"/>
                <w:szCs w:val="24"/>
              </w:rPr>
            </w:pPr>
          </w:p>
          <w:p w:rsidR="00E8351D" w:rsidRDefault="00872F84">
            <w:pPr>
              <w:widowControl w:val="0"/>
              <w:spacing w:after="0" w:line="240" w:lineRule="auto"/>
              <w:jc w:val="center"/>
              <w:rPr>
                <w:rFonts w:ascii="Arial" w:hAnsi="Arial" w:cs="Arial"/>
                <w:sz w:val="24"/>
                <w:szCs w:val="24"/>
              </w:rPr>
            </w:pPr>
            <w:r>
              <w:rPr>
                <w:noProof/>
                <w:lang w:eastAsia="it-IT"/>
              </w:rPr>
              <w:drawing>
                <wp:inline distT="0" distB="0" distL="0" distR="0">
                  <wp:extent cx="2952750" cy="1962150"/>
                  <wp:effectExtent l="0" t="0" r="0" b="0"/>
                  <wp:docPr id="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4"/>
                          <pic:cNvPicPr>
                            <a:picLocks noChangeAspect="1" noChangeArrowheads="1"/>
                          </pic:cNvPicPr>
                        </pic:nvPicPr>
                        <pic:blipFill>
                          <a:blip r:embed="rId8"/>
                          <a:stretch>
                            <a:fillRect/>
                          </a:stretch>
                        </pic:blipFill>
                        <pic:spPr bwMode="auto">
                          <a:xfrm>
                            <a:off x="0" y="0"/>
                            <a:ext cx="2952750" cy="1962150"/>
                          </a:xfrm>
                          <a:prstGeom prst="rect">
                            <a:avLst/>
                          </a:prstGeom>
                        </pic:spPr>
                      </pic:pic>
                    </a:graphicData>
                  </a:graphic>
                </wp:inline>
              </w:drawing>
            </w: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jc w:val="center"/>
              <w:rPr>
                <w:rFonts w:ascii="Arial" w:hAnsi="Arial" w:cs="Arial"/>
                <w:color w:val="000080"/>
                <w:sz w:val="24"/>
                <w:szCs w:val="24"/>
              </w:rPr>
            </w:pPr>
          </w:p>
        </w:tc>
      </w:tr>
      <w:tr w:rsidR="00E8351D">
        <w:tc>
          <w:tcPr>
            <w:tcW w:w="5735" w:type="dxa"/>
            <w:shd w:val="clear" w:color="auto" w:fill="D9D9D9"/>
          </w:tcPr>
          <w:p w:rsidR="00E8351D" w:rsidRDefault="00E8351D">
            <w:pPr>
              <w:widowControl w:val="0"/>
              <w:spacing w:after="0" w:line="240" w:lineRule="auto"/>
              <w:jc w:val="center"/>
              <w:rPr>
                <w:rFonts w:ascii="Arial" w:hAnsi="Arial" w:cs="Arial"/>
                <w:color w:val="000080"/>
                <w:sz w:val="72"/>
                <w:szCs w:val="72"/>
              </w:rPr>
            </w:pPr>
          </w:p>
          <w:p w:rsidR="00E8351D" w:rsidRDefault="00872F84">
            <w:pPr>
              <w:widowControl w:val="0"/>
              <w:spacing w:after="0" w:line="240" w:lineRule="auto"/>
              <w:jc w:val="center"/>
              <w:rPr>
                <w:rFonts w:ascii="Arial" w:hAnsi="Arial" w:cs="Arial"/>
                <w:color w:val="000080"/>
                <w:sz w:val="72"/>
                <w:szCs w:val="72"/>
              </w:rPr>
            </w:pPr>
            <w:r>
              <w:rPr>
                <w:rFonts w:ascii="Arial" w:hAnsi="Arial" w:cs="Arial"/>
                <w:color w:val="000080"/>
                <w:sz w:val="72"/>
                <w:szCs w:val="72"/>
              </w:rPr>
              <w:t>ANALISI</w:t>
            </w:r>
          </w:p>
          <w:p w:rsidR="00E8351D" w:rsidRDefault="00872F84">
            <w:pPr>
              <w:widowControl w:val="0"/>
              <w:spacing w:after="0" w:line="240" w:lineRule="auto"/>
              <w:jc w:val="center"/>
              <w:rPr>
                <w:rFonts w:ascii="Arial" w:hAnsi="Arial" w:cs="Arial"/>
                <w:color w:val="000080"/>
                <w:sz w:val="72"/>
                <w:szCs w:val="72"/>
              </w:rPr>
            </w:pPr>
            <w:r>
              <w:rPr>
                <w:rFonts w:ascii="Arial" w:hAnsi="Arial" w:cs="Arial"/>
                <w:color w:val="000080"/>
                <w:sz w:val="72"/>
                <w:szCs w:val="72"/>
              </w:rPr>
              <w:t>DELLE SPESE</w:t>
            </w:r>
          </w:p>
          <w:p w:rsidR="00E8351D" w:rsidRDefault="00E8351D">
            <w:pPr>
              <w:widowControl w:val="0"/>
              <w:spacing w:after="0" w:line="240" w:lineRule="auto"/>
              <w:jc w:val="center"/>
              <w:rPr>
                <w:rFonts w:ascii="Arial" w:hAnsi="Arial" w:cs="Arial"/>
                <w:color w:val="000080"/>
                <w:sz w:val="72"/>
                <w:szCs w:val="72"/>
              </w:rPr>
            </w:pPr>
          </w:p>
        </w:tc>
      </w:tr>
    </w:tbl>
    <w:p w:rsidR="00E8351D" w:rsidRDefault="00E8351D">
      <w:pPr>
        <w:widowControl w:val="0"/>
        <w:spacing w:after="0" w:line="240" w:lineRule="auto"/>
        <w:ind w:left="2267" w:right="2267"/>
        <w:rPr>
          <w:rFonts w:ascii="Arial" w:hAnsi="Arial" w:cs="Arial"/>
          <w:sz w:val="24"/>
          <w:szCs w:val="24"/>
        </w:rPr>
      </w:pPr>
    </w:p>
    <w:p w:rsidR="00E8351D" w:rsidRDefault="00E8351D">
      <w:pPr>
        <w:widowControl w:val="0"/>
        <w:spacing w:after="0" w:line="240" w:lineRule="auto"/>
        <w:rPr>
          <w:rFonts w:ascii="Arial" w:hAnsi="Arial" w:cs="Arial"/>
          <w:sz w:val="24"/>
          <w:szCs w:val="24"/>
        </w:rPr>
      </w:pPr>
    </w:p>
    <w:p w:rsidR="00E8351D" w:rsidRDefault="00872F84">
      <w:pPr>
        <w:widowControl w:val="0"/>
        <w:spacing w:after="0" w:line="240" w:lineRule="auto"/>
        <w:rPr>
          <w:rFonts w:ascii="Arial" w:hAnsi="Arial" w:cs="Arial"/>
          <w:sz w:val="24"/>
          <w:szCs w:val="24"/>
        </w:rPr>
      </w:pPr>
      <w:r>
        <w:br w:type="page"/>
      </w:r>
    </w:p>
    <w:tbl>
      <w:tblPr>
        <w:tblW w:w="10314" w:type="dxa"/>
        <w:tblLook w:val="0000" w:firstRow="0" w:lastRow="0" w:firstColumn="0" w:lastColumn="0" w:noHBand="0" w:noVBand="0"/>
      </w:tblPr>
      <w:tblGrid>
        <w:gridCol w:w="10314"/>
      </w:tblGrid>
      <w:tr w:rsidR="00E8351D">
        <w:tc>
          <w:tcPr>
            <w:tcW w:w="10314" w:type="dxa"/>
            <w:shd w:val="clear" w:color="auto" w:fill="D9D9D9"/>
          </w:tcPr>
          <w:p w:rsidR="00E8351D" w:rsidRDefault="00E8351D">
            <w:pPr>
              <w:pageBreakBefore/>
              <w:widowControl w:val="0"/>
              <w:spacing w:after="0" w:line="240" w:lineRule="auto"/>
              <w:jc w:val="both"/>
              <w:rPr>
                <w:rFonts w:ascii="Arial" w:hAnsi="Arial" w:cs="Arial"/>
                <w:color w:val="000080"/>
                <w:sz w:val="24"/>
                <w:szCs w:val="24"/>
              </w:rPr>
            </w:pPr>
          </w:p>
          <w:p w:rsidR="00E8351D" w:rsidRDefault="00872F84">
            <w:pPr>
              <w:widowControl w:val="0"/>
              <w:spacing w:after="0" w:line="240" w:lineRule="auto"/>
              <w:jc w:val="both"/>
              <w:rPr>
                <w:rFonts w:ascii="Arial" w:hAnsi="Arial" w:cs="Arial"/>
                <w:b/>
                <w:bCs/>
                <w:color w:val="000080"/>
                <w:sz w:val="24"/>
                <w:szCs w:val="24"/>
              </w:rPr>
            </w:pPr>
            <w:r>
              <w:rPr>
                <w:rFonts w:ascii="Arial" w:hAnsi="Arial" w:cs="Arial"/>
                <w:b/>
                <w:bCs/>
                <w:color w:val="000080"/>
                <w:sz w:val="24"/>
                <w:szCs w:val="24"/>
              </w:rPr>
              <w:t>2 ANALISI DELLE SPESE</w:t>
            </w:r>
          </w:p>
          <w:p w:rsidR="00E8351D" w:rsidRDefault="00E8351D">
            <w:pPr>
              <w:widowControl w:val="0"/>
              <w:spacing w:after="0" w:line="240" w:lineRule="auto"/>
              <w:jc w:val="both"/>
              <w:rPr>
                <w:rFonts w:ascii="Arial" w:hAnsi="Arial" w:cs="Arial"/>
                <w:color w:val="000080"/>
                <w:sz w:val="24"/>
                <w:szCs w:val="24"/>
              </w:rPr>
            </w:pPr>
          </w:p>
        </w:tc>
      </w:tr>
    </w:tbl>
    <w:p w:rsidR="00E8351D" w:rsidRDefault="00E8351D">
      <w:pPr>
        <w:widowControl w:val="0"/>
        <w:spacing w:after="0" w:line="240" w:lineRule="auto"/>
        <w:ind w:left="1133" w:right="226"/>
        <w:jc w:val="both"/>
        <w:rPr>
          <w:rFonts w:ascii="Arial" w:hAnsi="Arial" w:cs="Arial"/>
        </w:rPr>
      </w:pPr>
    </w:p>
    <w:p w:rsidR="00E8351D" w:rsidRDefault="00872F84">
      <w:pPr>
        <w:widowControl w:val="0"/>
        <w:tabs>
          <w:tab w:val="left" w:pos="1417"/>
        </w:tabs>
        <w:spacing w:after="0" w:line="240" w:lineRule="auto"/>
        <w:ind w:left="1161" w:right="226" w:hanging="28"/>
        <w:jc w:val="both"/>
        <w:rPr>
          <w:rFonts w:ascii="Arial" w:hAnsi="Arial" w:cs="Arial"/>
        </w:rPr>
      </w:pPr>
      <w:r>
        <w:rPr>
          <w:rFonts w:ascii="Arial" w:hAnsi="Arial" w:cs="Arial"/>
        </w:rPr>
        <w:tab/>
        <w:t xml:space="preserve">La prima parte del presente lavoro, dedicata all'analisi dell'entrata, evidenzia come l'ente locale, nel rispetto dei vincoli </w:t>
      </w:r>
      <w:r>
        <w:rPr>
          <w:rFonts w:ascii="Arial" w:hAnsi="Arial" w:cs="Arial"/>
        </w:rPr>
        <w:t>che disciplinano la materia, acquisisca risorse ordinarie e straordinarie da destinare al finanziamento della gestione corrente, degli investimenti e al rimborso dei prestiti.</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In questa seconda parte ci occuperemo, invece, di analizzare le spese in manier</w:t>
      </w:r>
      <w:r>
        <w:rPr>
          <w:rFonts w:ascii="Arial" w:hAnsi="Arial" w:cs="Arial"/>
        </w:rPr>
        <w:t>a analoga a quanto già visto per le entrate. Nei paragrafi seguenti cercheremo, pertanto, di far comprendere come le varie entrate siano state destinate dall'amministrazione, attraverso l'analisi delle corrispondenti spese, al conseguimento degli obiettivi</w:t>
      </w:r>
      <w:r>
        <w:rPr>
          <w:rFonts w:ascii="Arial" w:hAnsi="Arial" w:cs="Arial"/>
        </w:rPr>
        <w:t xml:space="preserve"> programmatici previsti dapprima in fase di insediamento e, successivamente, declinati nel DUP.</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Per rendere più facile la comprensione delle scelte poste in essere, si è ritenuto opportuno mantenere la stessa logica espositiva adottata per le entrate, pro</w:t>
      </w:r>
      <w:r>
        <w:rPr>
          <w:rFonts w:ascii="Arial" w:hAnsi="Arial" w:cs="Arial"/>
        </w:rPr>
        <w:t xml:space="preserve">cedendo anche per la spesa all'analisi per titoli, per passare, successivamente, in ottica di maggiore dettaglio, alla loro scomposizione in missioni. </w:t>
      </w:r>
    </w:p>
    <w:p w:rsidR="00E8351D" w:rsidRDefault="00E8351D">
      <w:pPr>
        <w:widowControl w:val="0"/>
        <w:spacing w:after="0" w:line="240" w:lineRule="auto"/>
        <w:ind w:left="1133" w:right="226"/>
        <w:jc w:val="both"/>
        <w:rPr>
          <w:rFonts w:ascii="Arial" w:hAnsi="Arial" w:cs="Arial"/>
          <w:b/>
          <w:bCs/>
        </w:rPr>
      </w:pPr>
    </w:p>
    <w:p w:rsidR="00E8351D" w:rsidRDefault="00E8351D">
      <w:pPr>
        <w:widowControl w:val="0"/>
        <w:spacing w:after="0" w:line="240" w:lineRule="auto"/>
        <w:ind w:left="1133" w:right="226"/>
        <w:jc w:val="both"/>
        <w:rPr>
          <w:rFonts w:ascii="Arial" w:hAnsi="Arial" w:cs="Arial"/>
          <w:b/>
          <w:bCs/>
        </w:rPr>
      </w:pPr>
    </w:p>
    <w:p w:rsidR="00E8351D" w:rsidRDefault="00E8351D">
      <w:pPr>
        <w:widowControl w:val="0"/>
        <w:spacing w:after="0" w:line="240" w:lineRule="auto"/>
        <w:ind w:left="1133" w:right="226"/>
        <w:jc w:val="both"/>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color w:val="000080"/>
                <w:sz w:val="24"/>
                <w:szCs w:val="24"/>
              </w:rPr>
            </w:pPr>
            <w:r>
              <w:rPr>
                <w:rFonts w:ascii="Arial" w:hAnsi="Arial" w:cs="Arial"/>
                <w:b/>
                <w:bCs/>
                <w:color w:val="000080"/>
                <w:sz w:val="24"/>
                <w:szCs w:val="24"/>
              </w:rPr>
              <w:t>2.1 Titolo 1^ Spese correnti</w:t>
            </w:r>
          </w:p>
        </w:tc>
      </w:tr>
    </w:tbl>
    <w:p w:rsidR="00E8351D" w:rsidRDefault="00E8351D">
      <w:pPr>
        <w:widowControl w:val="0"/>
        <w:spacing w:after="0" w:line="240" w:lineRule="auto"/>
        <w:ind w:left="1133" w:right="226"/>
        <w:jc w:val="both"/>
        <w:rPr>
          <w:rFonts w:ascii="Arial" w:hAnsi="Arial" w:cs="Arial"/>
        </w:rPr>
      </w:pPr>
    </w:p>
    <w:p w:rsidR="00E8351D" w:rsidRDefault="00872F84">
      <w:pPr>
        <w:widowControl w:val="0"/>
        <w:tabs>
          <w:tab w:val="left" w:pos="1417"/>
        </w:tabs>
        <w:spacing w:after="0" w:line="240" w:lineRule="auto"/>
        <w:ind w:left="1133" w:right="226"/>
        <w:jc w:val="both"/>
        <w:rPr>
          <w:rFonts w:ascii="Arial" w:hAnsi="Arial" w:cs="Arial"/>
        </w:rPr>
      </w:pPr>
      <w:r>
        <w:rPr>
          <w:rFonts w:ascii="Arial" w:hAnsi="Arial" w:cs="Arial"/>
        </w:rPr>
        <w:tab/>
      </w:r>
      <w:r>
        <w:rPr>
          <w:rFonts w:ascii="Arial" w:hAnsi="Arial" w:cs="Arial"/>
        </w:rPr>
        <w:t xml:space="preserve">Le Spese correnti trovano iscrizione nel titolo 1^, suddivise in missioni e programmi, ed evidenziano gli oneri previsti per l'ordinaria attività dell'ente e dei vari servizi pubblici attivati. </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Per una lettura più precisa delle risultanze di bilancio è o</w:t>
      </w:r>
      <w:r>
        <w:rPr>
          <w:rFonts w:ascii="Arial" w:hAnsi="Arial" w:cs="Arial"/>
        </w:rPr>
        <w:t>pportuno disaggregare tale spesa, distinguendola in missioni, secondo la classificazione funzionale. A riguardo si precisa che la classificazione funzionale per missioni non è rimessa alla libera decisione dell'ente, ma risponde ad una precisa esigenza evi</w:t>
      </w:r>
      <w:r>
        <w:rPr>
          <w:rFonts w:ascii="Arial" w:hAnsi="Arial" w:cs="Arial"/>
        </w:rPr>
        <w:t>denziata dal legislatore nell' articolo 12 del Decreto Legislativo n. 118 del 2011; quest'ultimo prevede che le amministrazioni pubbliche territoriali adottino schemi di bilancio articolati per missioni e programmi che evidenzino le finalità della spesa, a</w:t>
      </w:r>
      <w:r>
        <w:rPr>
          <w:rFonts w:ascii="Arial" w:hAnsi="Arial" w:cs="Arial"/>
        </w:rPr>
        <w:t>llo scopo di assicurare maggiore trasparenza e confrontabilità delle informazioni riguardanti il processo di allocazione delle risorse pubbliche e la destinazione delle stesse alle politiche pubbliche settoriali.</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color w:val="000000"/>
        </w:rPr>
      </w:pPr>
      <w:r>
        <w:rPr>
          <w:rFonts w:ascii="Arial" w:hAnsi="Arial" w:cs="Arial"/>
          <w:color w:val="000000"/>
        </w:rPr>
        <w:tab/>
        <w:t>Le missioni rappresentano le funzioni prin</w:t>
      </w:r>
      <w:r>
        <w:rPr>
          <w:rFonts w:ascii="Arial" w:hAnsi="Arial" w:cs="Arial"/>
          <w:color w:val="000000"/>
        </w:rPr>
        <w:t>cipali e gli obiettivi strategici perseguiti dalle amministrazioni pubbliche territoriali, utilizzando risorse finanziarie, umane e strumentali ad esse destinate, e sono definite in relazione al riparto di competenze di cui agli articoli 117 e 118 del Tito</w:t>
      </w:r>
      <w:r>
        <w:rPr>
          <w:rFonts w:ascii="Arial" w:hAnsi="Arial" w:cs="Arial"/>
          <w:color w:val="000000"/>
        </w:rPr>
        <w:t>lo V della Costituzione, tenendo conto anche di quelle individuate per il bilancio dello Stato.</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 xml:space="preserve">Nelle tabelle sottostanti viene presentata la composizione del titolo 1^ della spesa nel bilancio 2017-2019 per missione. Tale impostazione evidenzia gli </w:t>
      </w:r>
      <w:r>
        <w:rPr>
          <w:rFonts w:ascii="Arial" w:hAnsi="Arial" w:cs="Arial"/>
        </w:rPr>
        <w:t>eventuali scostamenti tra le spese infrannuali destinate alla medesima missione, in modo da cogliere, con maggiore chiarezza, gli effetti delle scelte precedentemente effettuate e l'assetto delle stesse per i prossimi esercizi. L'analisi non prende a rifer</w:t>
      </w:r>
      <w:r>
        <w:rPr>
          <w:rFonts w:ascii="Arial" w:hAnsi="Arial" w:cs="Arial"/>
        </w:rPr>
        <w:t>imento i servizi per conto terzi e le partite di giro.</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tbl>
      <w:tblPr>
        <w:tblW w:w="10279" w:type="dxa"/>
        <w:tblInd w:w="-15" w:type="dxa"/>
        <w:tblBorders>
          <w:top w:val="single" w:sz="8" w:space="0" w:color="00000A"/>
          <w:left w:val="single" w:sz="6" w:space="0" w:color="00000A"/>
          <w:bottom w:val="single" w:sz="8" w:space="0" w:color="00000A"/>
          <w:right w:val="single" w:sz="6" w:space="0" w:color="00000A"/>
          <w:insideH w:val="single" w:sz="8" w:space="0" w:color="00000A"/>
          <w:insideV w:val="single" w:sz="6" w:space="0" w:color="00000A"/>
        </w:tblBorders>
        <w:tblCellMar>
          <w:top w:w="170" w:type="dxa"/>
          <w:left w:w="35" w:type="dxa"/>
          <w:bottom w:w="170" w:type="dxa"/>
          <w:right w:w="51" w:type="dxa"/>
        </w:tblCellMar>
        <w:tblLook w:val="0000" w:firstRow="0" w:lastRow="0" w:firstColumn="0" w:lastColumn="0" w:noHBand="0" w:noVBand="0"/>
      </w:tblPr>
      <w:tblGrid>
        <w:gridCol w:w="5119"/>
        <w:gridCol w:w="1742"/>
        <w:gridCol w:w="1700"/>
        <w:gridCol w:w="1718"/>
      </w:tblGrid>
      <w:tr w:rsidR="00E8351D">
        <w:tc>
          <w:tcPr>
            <w:tcW w:w="5118"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MISSIONI - PROGRAMMA (TIT. 1^ SPESA)</w:t>
            </w:r>
          </w:p>
        </w:tc>
        <w:tc>
          <w:tcPr>
            <w:tcW w:w="1742"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2017</w:t>
            </w:r>
          </w:p>
        </w:tc>
        <w:tc>
          <w:tcPr>
            <w:tcW w:w="1700"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2018</w:t>
            </w:r>
          </w:p>
        </w:tc>
        <w:tc>
          <w:tcPr>
            <w:tcW w:w="1718"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2019</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rPr>
                <w:rFonts w:ascii="Arial" w:hAnsi="Arial" w:cs="Arial"/>
                <w:sz w:val="12"/>
                <w:szCs w:val="12"/>
              </w:rPr>
            </w:pP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r>
      <w:tr w:rsidR="00E8351D">
        <w:tc>
          <w:tcPr>
            <w:tcW w:w="5118"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1</w:t>
            </w:r>
          </w:p>
        </w:tc>
        <w:tc>
          <w:tcPr>
            <w:tcW w:w="1742"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sz w:val="14"/>
                <w:szCs w:val="14"/>
              </w:rPr>
              <w:t>70.392.951,62</w:t>
            </w:r>
          </w:p>
        </w:tc>
        <w:tc>
          <w:tcPr>
            <w:tcW w:w="1700"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sz w:val="14"/>
                <w:szCs w:val="14"/>
              </w:rPr>
              <w:t>64.329.005,26</w:t>
            </w:r>
          </w:p>
        </w:tc>
        <w:tc>
          <w:tcPr>
            <w:tcW w:w="1718"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sz w:val="14"/>
                <w:szCs w:val="14"/>
              </w:rPr>
              <w:t>67.347.719,98</w:t>
            </w:r>
          </w:p>
        </w:tc>
      </w:tr>
    </w:tbl>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jc w:val="both"/>
              <w:rPr>
                <w:rFonts w:ascii="Arial" w:hAnsi="Arial" w:cs="Arial"/>
                <w:i/>
                <w:iCs/>
                <w:color w:val="000080"/>
                <w:sz w:val="24"/>
                <w:szCs w:val="24"/>
              </w:rPr>
            </w:pPr>
            <w:r>
              <w:rPr>
                <w:rFonts w:ascii="Arial" w:hAnsi="Arial" w:cs="Arial"/>
                <w:i/>
                <w:iCs/>
                <w:color w:val="000080"/>
                <w:sz w:val="24"/>
                <w:szCs w:val="24"/>
              </w:rPr>
              <w:t>2.1.1 Il contenimento delle spese ed il rispetto dei limiti di legge</w:t>
            </w:r>
          </w:p>
        </w:tc>
      </w:tr>
    </w:tbl>
    <w:p w:rsidR="00E8351D" w:rsidRDefault="00E8351D">
      <w:pPr>
        <w:widowControl w:val="0"/>
        <w:spacing w:after="0" w:line="240" w:lineRule="auto"/>
        <w:ind w:left="1133" w:right="226"/>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 xml:space="preserve">Le </w:t>
      </w:r>
      <w:r>
        <w:rPr>
          <w:rFonts w:ascii="Arial" w:hAnsi="Arial" w:cs="Arial"/>
        </w:rPr>
        <w:t>varie disposizioni di legge, che negli ultimi anni si sono susseguite, hanno introdotto alcuni vincoli e limiti a determinate tipologie di spesa.</w:t>
      </w:r>
    </w:p>
    <w:p w:rsidR="00E8351D" w:rsidRDefault="00872F84">
      <w:pPr>
        <w:widowControl w:val="0"/>
        <w:tabs>
          <w:tab w:val="left" w:pos="1417"/>
        </w:tabs>
        <w:spacing w:after="0" w:line="240" w:lineRule="auto"/>
        <w:ind w:left="1133" w:right="226"/>
        <w:jc w:val="both"/>
        <w:rPr>
          <w:rFonts w:ascii="Arial" w:hAnsi="Arial" w:cs="Arial"/>
        </w:rPr>
      </w:pPr>
      <w:r>
        <w:rPr>
          <w:rFonts w:ascii="Arial" w:hAnsi="Arial" w:cs="Arial"/>
        </w:rPr>
        <w:tab/>
        <w:t>Prescindendo in questa sede da ogni valutazione in merito alla costituzionalità delle norme che introducono i</w:t>
      </w:r>
      <w:r>
        <w:rPr>
          <w:rFonts w:ascii="Arial" w:hAnsi="Arial" w:cs="Arial"/>
        </w:rPr>
        <w:t xml:space="preserve"> citati limiti, in questa sede si ritiene opportuno dimostrare la conformità del corrente bilancio ai richiamati vincoli.</w:t>
      </w:r>
    </w:p>
    <w:p w:rsidR="00E8351D" w:rsidRDefault="00E8351D">
      <w:pPr>
        <w:widowControl w:val="0"/>
        <w:spacing w:after="0" w:line="240" w:lineRule="auto"/>
        <w:ind w:left="1133" w:right="226"/>
        <w:jc w:val="both"/>
        <w:rPr>
          <w:rFonts w:ascii="Arial" w:hAnsi="Arial" w:cs="Arial"/>
          <w:b/>
          <w:bCs/>
        </w:rPr>
      </w:pPr>
    </w:p>
    <w:p w:rsidR="00E8351D" w:rsidRDefault="00872F84">
      <w:pPr>
        <w:widowControl w:val="0"/>
        <w:spacing w:after="0" w:line="240" w:lineRule="auto"/>
        <w:ind w:left="1133" w:right="226"/>
        <w:jc w:val="both"/>
        <w:rPr>
          <w:rFonts w:ascii="Arial" w:hAnsi="Arial" w:cs="Arial"/>
          <w:b/>
          <w:bCs/>
          <w:color w:val="000080"/>
          <w:u w:val="single"/>
        </w:rPr>
      </w:pPr>
      <w:r>
        <w:rPr>
          <w:rFonts w:ascii="Arial" w:hAnsi="Arial" w:cs="Arial"/>
          <w:b/>
          <w:bCs/>
          <w:color w:val="000080"/>
          <w:u w:val="single"/>
        </w:rPr>
        <w:t>Limiti alla Spesa di Personale</w:t>
      </w:r>
    </w:p>
    <w:p w:rsidR="00E8351D" w:rsidRDefault="00E8351D">
      <w:pPr>
        <w:widowControl w:val="0"/>
        <w:spacing w:after="0" w:line="240" w:lineRule="auto"/>
        <w:ind w:left="1133" w:right="226"/>
        <w:jc w:val="both"/>
        <w:rPr>
          <w:rFonts w:ascii="Arial" w:hAnsi="Arial" w:cs="Arial"/>
          <w:b/>
          <w:bCs/>
        </w:rPr>
      </w:pPr>
    </w:p>
    <w:p w:rsidR="00E8351D" w:rsidRDefault="00872F84">
      <w:pPr>
        <w:widowControl w:val="0"/>
        <w:spacing w:after="0" w:line="240" w:lineRule="auto"/>
        <w:ind w:left="1133" w:right="226"/>
        <w:jc w:val="both"/>
        <w:rPr>
          <w:rFonts w:ascii="Arial" w:hAnsi="Arial" w:cs="Arial"/>
          <w:b/>
          <w:bCs/>
        </w:rPr>
      </w:pPr>
      <w:r>
        <w:rPr>
          <w:rFonts w:ascii="Arial" w:hAnsi="Arial" w:cs="Arial"/>
          <w:bCs/>
        </w:rPr>
        <w:t>La spesa di personale per il 2017, calcolata ai sensi dell’articolo 1, comma 557, della Legge n. 296/</w:t>
      </w:r>
      <w:r>
        <w:rPr>
          <w:rFonts w:ascii="Arial" w:hAnsi="Arial" w:cs="Arial"/>
          <w:bCs/>
        </w:rPr>
        <w:t>2006, così come modificato dal D.L. 90/2014 e delle varie interpretazioni fornite dalle sezioni controllo della Corte dei Conti e dalla Ragioneria Generale dello Stato, è pari ad € 15.429.749,12</w:t>
      </w:r>
      <w:r>
        <w:rPr>
          <w:rFonts w:ascii="Arial" w:hAnsi="Arial" w:cs="Arial"/>
          <w:b/>
          <w:bCs/>
        </w:rPr>
        <w:t xml:space="preserve"> </w:t>
      </w:r>
      <w:r>
        <w:rPr>
          <w:rFonts w:ascii="Arial" w:hAnsi="Arial" w:cs="Arial"/>
          <w:bCs/>
        </w:rPr>
        <w:t>inferiore al corrispondente dato del triennio precedente (201</w:t>
      </w:r>
      <w:r>
        <w:rPr>
          <w:rFonts w:ascii="Arial" w:hAnsi="Arial" w:cs="Arial"/>
          <w:bCs/>
        </w:rPr>
        <w:t>1/2013) pari ad € 17.325.935,66.</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55"/>
        <w:jc w:val="both"/>
        <w:rPr>
          <w:rFonts w:ascii="Arial" w:hAnsi="Arial" w:cs="Arial"/>
        </w:rPr>
      </w:pPr>
    </w:p>
    <w:p w:rsidR="00E8351D" w:rsidRDefault="00872F84">
      <w:pPr>
        <w:widowControl w:val="0"/>
        <w:tabs>
          <w:tab w:val="left" w:pos="360"/>
          <w:tab w:val="left" w:pos="720"/>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1134"/>
        <w:jc w:val="both"/>
        <w:rPr>
          <w:rFonts w:ascii="Arial" w:hAnsi="Arial" w:cs="Arial"/>
        </w:rPr>
      </w:pPr>
      <w:r>
        <w:rPr>
          <w:rFonts w:ascii="Arial" w:hAnsi="Arial" w:cs="Arial"/>
          <w:color w:val="000000"/>
        </w:rPr>
        <w:tab/>
        <w:t xml:space="preserve">La legge di stabilità per il 2016 ha reintrodotto il blocco della contrattazione decentrata con un tetto che non è più quello del 2010 ma quello del 2015: su questo punto si precisa, altresì che, nel rispetto di quanto </w:t>
      </w:r>
      <w:r>
        <w:rPr>
          <w:rFonts w:ascii="Arial" w:hAnsi="Arial" w:cs="Arial"/>
          <w:color w:val="000000"/>
        </w:rPr>
        <w:t>previsto dall’art. 1, comma 236 della legge 208/2015 (legge di stabilità per il 2016),  l’ammontare complessivo delle risorse destinate annualmente al trattamento accessorio del personale, anche di livello dirigenziale è stato automaticamente ridotto in mi</w:t>
      </w:r>
      <w:r>
        <w:rPr>
          <w:rFonts w:ascii="Arial" w:hAnsi="Arial" w:cs="Arial"/>
          <w:color w:val="000000"/>
        </w:rPr>
        <w:t>sura proporzionale alla riduzione del personale in servizio così come illustrato nella circolare R.G.S. n. 12 del 15.04.2011.</w:t>
      </w:r>
      <w:r>
        <w:rPr>
          <w:rFonts w:ascii="Arial" w:hAnsi="Arial" w:cs="Arial"/>
        </w:rPr>
        <w:tab/>
      </w:r>
    </w:p>
    <w:p w:rsidR="00E8351D" w:rsidRDefault="00E8351D">
      <w:pPr>
        <w:widowControl w:val="0"/>
        <w:spacing w:after="0" w:line="240" w:lineRule="auto"/>
        <w:ind w:left="1133" w:right="226"/>
        <w:jc w:val="both"/>
        <w:rPr>
          <w:rFonts w:ascii="Arial" w:hAnsi="Arial" w:cs="Arial"/>
          <w:b/>
          <w:bCs/>
        </w:rPr>
      </w:pPr>
    </w:p>
    <w:p w:rsidR="00E8351D" w:rsidRDefault="00872F84">
      <w:pPr>
        <w:widowControl w:val="0"/>
        <w:spacing w:after="0" w:line="240" w:lineRule="auto"/>
        <w:ind w:left="1133" w:right="226"/>
        <w:jc w:val="both"/>
        <w:rPr>
          <w:rFonts w:ascii="Arial" w:hAnsi="Arial" w:cs="Arial"/>
          <w:b/>
          <w:bCs/>
          <w:color w:val="000080"/>
          <w:u w:val="single"/>
        </w:rPr>
      </w:pPr>
      <w:r>
        <w:rPr>
          <w:rFonts w:ascii="Arial" w:hAnsi="Arial" w:cs="Arial"/>
          <w:b/>
          <w:bCs/>
          <w:color w:val="000080"/>
          <w:u w:val="single"/>
        </w:rPr>
        <w:t>Limiti alla Spesa di Studi ed incarichi di consulenza</w:t>
      </w:r>
    </w:p>
    <w:p w:rsidR="00E8351D" w:rsidRDefault="00E8351D">
      <w:pPr>
        <w:widowControl w:val="0"/>
        <w:spacing w:after="0" w:line="240" w:lineRule="auto"/>
        <w:ind w:left="1133" w:right="226"/>
        <w:jc w:val="both"/>
        <w:rPr>
          <w:rFonts w:ascii="Arial" w:hAnsi="Arial" w:cs="Arial"/>
          <w:b/>
          <w:bCs/>
        </w:rPr>
      </w:pPr>
    </w:p>
    <w:p w:rsidR="00E8351D" w:rsidRDefault="00872F84">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100" w:lineRule="atLeast"/>
        <w:ind w:left="1133" w:right="226"/>
        <w:jc w:val="both"/>
        <w:rPr>
          <w:rFonts w:ascii="Arial" w:hAnsi="Arial" w:cs="Arial"/>
        </w:rPr>
      </w:pPr>
      <w:r>
        <w:rPr>
          <w:rFonts w:ascii="Arial" w:hAnsi="Arial" w:cs="Arial"/>
        </w:rPr>
        <w:tab/>
      </w:r>
      <w:r>
        <w:rPr>
          <w:rFonts w:ascii="Arial" w:hAnsi="Arial" w:cs="Arial"/>
        </w:rPr>
        <w:t>A decorrere dall’anno 2016 hanno cessato di avere efficacia le disposizioni previste dal decreto Legge n. 101/2013 (conv. in Legge n. 125/2013), laddove all’articolo 1, il legislatore aveva disposto ulteriori limiti di spesa per  studi ed incarichi di cons</w:t>
      </w:r>
      <w:r>
        <w:rPr>
          <w:rFonts w:ascii="Arial" w:hAnsi="Arial" w:cs="Arial"/>
        </w:rPr>
        <w:t xml:space="preserve">ulenza e per autovetture. </w:t>
      </w:r>
      <w:r>
        <w:rPr>
          <w:rFonts w:ascii="Arial" w:hAnsi="Arial" w:cs="Arial"/>
        </w:rPr>
        <w:tab/>
      </w:r>
      <w:r>
        <w:rPr>
          <w:rFonts w:ascii="Arial" w:hAnsi="Arial" w:cs="Arial"/>
        </w:rPr>
        <w:tab/>
        <w:t>Dal 2016 la spesa è torna ai livelli massimi previsti dal D.L. n. 78/2010.</w:t>
      </w:r>
    </w:p>
    <w:p w:rsidR="00E8351D" w:rsidRDefault="00E8351D">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100" w:lineRule="atLeast"/>
        <w:ind w:left="1133" w:right="226"/>
        <w:rPr>
          <w:rFonts w:ascii="Arial" w:hAnsi="Arial" w:cs="Arial"/>
          <w:color w:val="FF0000"/>
        </w:rPr>
      </w:pPr>
    </w:p>
    <w:p w:rsidR="00E8351D" w:rsidRDefault="00E8351D">
      <w:pPr>
        <w:widowControl w:val="0"/>
        <w:spacing w:after="0" w:line="240" w:lineRule="auto"/>
        <w:ind w:left="1133" w:right="226"/>
        <w:rPr>
          <w:rFonts w:ascii="Arial" w:hAnsi="Arial" w:cs="Arial"/>
          <w:b/>
          <w:bCs/>
        </w:rPr>
      </w:pPr>
    </w:p>
    <w:p w:rsidR="00E8351D" w:rsidRDefault="00872F84">
      <w:pPr>
        <w:widowControl w:val="0"/>
        <w:spacing w:after="0" w:line="240" w:lineRule="auto"/>
        <w:ind w:left="1133" w:right="226"/>
        <w:rPr>
          <w:rFonts w:ascii="Arial" w:hAnsi="Arial" w:cs="Arial"/>
          <w:b/>
          <w:bCs/>
        </w:rPr>
      </w:pPr>
      <w:r>
        <w:rPr>
          <w:rFonts w:ascii="Arial" w:hAnsi="Arial" w:cs="Arial"/>
          <w:b/>
          <w:bCs/>
          <w:color w:val="000080"/>
          <w:u w:val="single"/>
        </w:rPr>
        <w:t>Limiti alle Spese di Rappresentanza</w:t>
      </w:r>
    </w:p>
    <w:p w:rsidR="00E8351D" w:rsidRDefault="00E8351D">
      <w:pPr>
        <w:widowControl w:val="0"/>
        <w:spacing w:after="0" w:line="240" w:lineRule="auto"/>
        <w:ind w:left="1133" w:right="226"/>
        <w:rPr>
          <w:rFonts w:ascii="Arial" w:hAnsi="Arial" w:cs="Arial"/>
          <w:b/>
          <w:bCs/>
        </w:rPr>
      </w:pPr>
    </w:p>
    <w:p w:rsidR="00E8351D" w:rsidRDefault="00872F84">
      <w:pPr>
        <w:widowControl w:val="0"/>
        <w:tabs>
          <w:tab w:val="left" w:pos="1417"/>
        </w:tabs>
        <w:spacing w:after="0" w:line="240" w:lineRule="auto"/>
        <w:ind w:left="1133" w:right="226"/>
        <w:jc w:val="both"/>
        <w:rPr>
          <w:rFonts w:ascii="Arial" w:hAnsi="Arial" w:cs="Arial"/>
        </w:rPr>
      </w:pPr>
      <w:r>
        <w:rPr>
          <w:rFonts w:ascii="Arial" w:hAnsi="Arial" w:cs="Arial"/>
        </w:rPr>
        <w:tab/>
        <w:t xml:space="preserve">Le spese per relazioni pubbliche, convegni, mostre, pubblicità e di rappresentanza, sono state previste nel </w:t>
      </w:r>
      <w:r>
        <w:rPr>
          <w:rFonts w:ascii="Arial" w:hAnsi="Arial" w:cs="Arial"/>
        </w:rPr>
        <w:t>rispetto del limite fissato dall’articolo 6, comma 8, del D.L. n. 78/2010 per un ammontare non superiore al 20 % della spesa sostenuta nell'anno 2009.</w:t>
      </w:r>
    </w:p>
    <w:p w:rsidR="00E8351D" w:rsidRDefault="00E8351D">
      <w:pPr>
        <w:widowControl w:val="0"/>
        <w:spacing w:after="0" w:line="240" w:lineRule="auto"/>
        <w:ind w:left="1133" w:right="226"/>
        <w:jc w:val="both"/>
        <w:rPr>
          <w:rFonts w:ascii="Arial" w:hAnsi="Arial" w:cs="Arial"/>
          <w:b/>
          <w:bCs/>
        </w:rPr>
      </w:pPr>
    </w:p>
    <w:p w:rsidR="00E8351D" w:rsidRDefault="00872F84">
      <w:pPr>
        <w:widowControl w:val="0"/>
        <w:spacing w:after="0" w:line="240" w:lineRule="auto"/>
        <w:ind w:left="1133" w:right="226"/>
        <w:rPr>
          <w:rFonts w:ascii="Arial" w:hAnsi="Arial" w:cs="Arial"/>
          <w:b/>
          <w:bCs/>
        </w:rPr>
      </w:pPr>
      <w:r>
        <w:rPr>
          <w:rFonts w:ascii="Arial" w:hAnsi="Arial" w:cs="Arial"/>
          <w:b/>
          <w:bCs/>
          <w:color w:val="000080"/>
          <w:u w:val="single"/>
        </w:rPr>
        <w:t>Limiti alle Spese per Sponsorizzazioni</w:t>
      </w:r>
    </w:p>
    <w:p w:rsidR="00E8351D" w:rsidRDefault="00E8351D">
      <w:pPr>
        <w:widowControl w:val="0"/>
        <w:spacing w:after="0" w:line="240" w:lineRule="auto"/>
        <w:ind w:left="1133" w:right="226"/>
        <w:jc w:val="both"/>
        <w:rPr>
          <w:rFonts w:ascii="Arial" w:hAnsi="Arial" w:cs="Arial"/>
        </w:rPr>
      </w:pPr>
    </w:p>
    <w:p w:rsidR="00E8351D" w:rsidRDefault="00872F84">
      <w:pPr>
        <w:widowControl w:val="0"/>
        <w:tabs>
          <w:tab w:val="left" w:pos="1134"/>
          <w:tab w:val="left" w:pos="1417"/>
          <w:tab w:val="left" w:pos="3402"/>
        </w:tabs>
        <w:spacing w:after="0" w:line="240" w:lineRule="auto"/>
        <w:ind w:left="1133" w:right="226"/>
        <w:jc w:val="both"/>
        <w:rPr>
          <w:rFonts w:ascii="Arial" w:hAnsi="Arial" w:cs="Arial"/>
        </w:rPr>
      </w:pPr>
      <w:r>
        <w:rPr>
          <w:rFonts w:ascii="Arial" w:hAnsi="Arial" w:cs="Arial"/>
        </w:rPr>
        <w:tab/>
      </w:r>
      <w:r>
        <w:rPr>
          <w:rFonts w:ascii="Arial" w:hAnsi="Arial" w:cs="Arial"/>
        </w:rPr>
        <w:tab/>
        <w:t>Si dà atto che non sono state previste spese per sponsorizzazi</w:t>
      </w:r>
      <w:r>
        <w:rPr>
          <w:rFonts w:ascii="Arial" w:hAnsi="Arial" w:cs="Arial"/>
        </w:rPr>
        <w:t>oni, nel rispetto di quanto previsto dall’articolo 6, comma 9, del D.L. n. 78/2010 e delle successive interpretazioni fornite dalle sezioni di controllo della Corte dei Conti.</w:t>
      </w:r>
    </w:p>
    <w:p w:rsidR="00E8351D" w:rsidRDefault="00E8351D">
      <w:pPr>
        <w:widowControl w:val="0"/>
        <w:spacing w:after="0" w:line="240" w:lineRule="auto"/>
        <w:ind w:left="1133" w:right="226"/>
        <w:jc w:val="both"/>
        <w:rPr>
          <w:rFonts w:ascii="Arial" w:hAnsi="Arial" w:cs="Arial"/>
          <w:b/>
          <w:bCs/>
        </w:rPr>
      </w:pPr>
    </w:p>
    <w:p w:rsidR="00E8351D" w:rsidRDefault="00872F84">
      <w:pPr>
        <w:widowControl w:val="0"/>
        <w:spacing w:after="0" w:line="240" w:lineRule="auto"/>
        <w:ind w:left="1133" w:right="226"/>
        <w:jc w:val="both"/>
        <w:rPr>
          <w:rFonts w:ascii="Arial" w:hAnsi="Arial" w:cs="Arial"/>
          <w:b/>
          <w:bCs/>
        </w:rPr>
      </w:pPr>
      <w:r>
        <w:rPr>
          <w:rFonts w:ascii="Arial" w:hAnsi="Arial" w:cs="Arial"/>
          <w:b/>
          <w:bCs/>
          <w:color w:val="000080"/>
          <w:u w:val="single"/>
        </w:rPr>
        <w:t>Limiti alle Spese per Missioni</w:t>
      </w:r>
    </w:p>
    <w:p w:rsidR="00E8351D" w:rsidRDefault="00E8351D">
      <w:pPr>
        <w:widowControl w:val="0"/>
        <w:spacing w:after="0" w:line="240" w:lineRule="auto"/>
        <w:ind w:left="1133" w:right="226"/>
        <w:jc w:val="both"/>
        <w:rPr>
          <w:rFonts w:ascii="Arial" w:hAnsi="Arial" w:cs="Arial"/>
          <w:b/>
          <w:bCs/>
        </w:rPr>
      </w:pPr>
    </w:p>
    <w:p w:rsidR="00E8351D" w:rsidRDefault="00872F84">
      <w:pPr>
        <w:widowControl w:val="0"/>
        <w:tabs>
          <w:tab w:val="left" w:pos="1417"/>
        </w:tabs>
        <w:spacing w:after="0" w:line="240" w:lineRule="auto"/>
        <w:ind w:left="1133" w:right="226"/>
        <w:jc w:val="both"/>
        <w:rPr>
          <w:rFonts w:ascii="Arial" w:hAnsi="Arial" w:cs="Arial"/>
        </w:rPr>
      </w:pPr>
      <w:r>
        <w:rPr>
          <w:rFonts w:ascii="Arial" w:hAnsi="Arial" w:cs="Arial"/>
        </w:rPr>
        <w:tab/>
        <w:t>Le spese per missioni - anche all’estero - dei</w:t>
      </w:r>
      <w:r>
        <w:rPr>
          <w:rFonts w:ascii="Arial" w:hAnsi="Arial" w:cs="Arial"/>
        </w:rPr>
        <w:t xml:space="preserve"> dipendenti sono state previste nel rispetto del limite fissato dall’articolo 6, comma 12, del D.L. n. 78/2010 per l’anno 2017.</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spacing w:after="0" w:line="240" w:lineRule="auto"/>
        <w:ind w:right="226"/>
        <w:jc w:val="both"/>
        <w:rPr>
          <w:rFonts w:ascii="Arial" w:hAnsi="Arial" w:cs="Arial"/>
        </w:rPr>
      </w:pPr>
    </w:p>
    <w:p w:rsidR="00E8351D" w:rsidRDefault="00872F84">
      <w:pPr>
        <w:widowControl w:val="0"/>
        <w:spacing w:after="0" w:line="240" w:lineRule="auto"/>
        <w:ind w:left="1133" w:right="226"/>
        <w:jc w:val="both"/>
        <w:rPr>
          <w:rFonts w:ascii="Arial" w:hAnsi="Arial" w:cs="Arial"/>
        </w:rPr>
      </w:pPr>
      <w:r>
        <w:rPr>
          <w:rFonts w:ascii="Arial" w:hAnsi="Arial" w:cs="Arial"/>
          <w:b/>
          <w:bCs/>
          <w:color w:val="000080"/>
          <w:u w:val="single"/>
        </w:rPr>
        <w:t>Limiti alle Spese di Formazione</w:t>
      </w:r>
    </w:p>
    <w:p w:rsidR="00E8351D" w:rsidRDefault="00E8351D">
      <w:pPr>
        <w:widowControl w:val="0"/>
        <w:spacing w:after="0" w:line="240" w:lineRule="auto"/>
        <w:ind w:left="1133" w:right="226"/>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 xml:space="preserve">Le spese di formazione sono state previste nel rispetto del limite fissato dall’articolo 6, </w:t>
      </w:r>
      <w:r>
        <w:rPr>
          <w:rFonts w:ascii="Arial" w:hAnsi="Arial" w:cs="Arial"/>
        </w:rPr>
        <w:t xml:space="preserve">comma </w:t>
      </w:r>
      <w:r>
        <w:rPr>
          <w:rFonts w:ascii="Arial" w:hAnsi="Arial" w:cs="Arial"/>
        </w:rPr>
        <w:lastRenderedPageBreak/>
        <w:t>13, del D.L. n. 78/2010.</w:t>
      </w:r>
    </w:p>
    <w:p w:rsidR="00E8351D" w:rsidRDefault="00872F84">
      <w:pPr>
        <w:widowControl w:val="0"/>
        <w:spacing w:after="0" w:line="240" w:lineRule="auto"/>
        <w:ind w:left="1133" w:right="226"/>
        <w:jc w:val="both"/>
        <w:rPr>
          <w:rFonts w:ascii="Arial" w:hAnsi="Arial" w:cs="Arial"/>
        </w:rPr>
      </w:pPr>
      <w:r>
        <w:rPr>
          <w:rFonts w:ascii="Arial" w:hAnsi="Arial" w:cs="Arial"/>
        </w:rPr>
        <w:tab/>
      </w:r>
    </w:p>
    <w:p w:rsidR="00E8351D" w:rsidRDefault="00E8351D">
      <w:pPr>
        <w:widowControl w:val="0"/>
        <w:spacing w:after="0" w:line="240" w:lineRule="auto"/>
        <w:ind w:left="1133" w:right="226"/>
        <w:jc w:val="both"/>
        <w:rPr>
          <w:rFonts w:ascii="Arial" w:hAnsi="Arial" w:cs="Arial"/>
        </w:rPr>
      </w:pPr>
    </w:p>
    <w:p w:rsidR="00E8351D" w:rsidRDefault="00872F84">
      <w:pPr>
        <w:widowControl w:val="0"/>
        <w:spacing w:after="0" w:line="240" w:lineRule="auto"/>
        <w:ind w:left="1133" w:right="226"/>
        <w:jc w:val="both"/>
        <w:rPr>
          <w:rFonts w:ascii="Arial" w:hAnsi="Arial" w:cs="Arial"/>
        </w:rPr>
      </w:pPr>
      <w:r>
        <w:rPr>
          <w:rFonts w:ascii="Arial" w:hAnsi="Arial" w:cs="Arial"/>
          <w:b/>
          <w:bCs/>
          <w:color w:val="000080"/>
          <w:u w:val="single"/>
        </w:rPr>
        <w:t>Limiti alle Spese per Automezzi</w:t>
      </w:r>
    </w:p>
    <w:p w:rsidR="00E8351D" w:rsidRDefault="00E8351D">
      <w:pPr>
        <w:widowControl w:val="0"/>
        <w:spacing w:after="0" w:line="240" w:lineRule="auto"/>
        <w:ind w:left="1133" w:right="226"/>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Le spese per l’acquisto, la manutenzione, il noleggio e l’esercizio di autovetture, nonché per l’acquisto di buoni taxi sono state previste nel rispetto del nuovo limite fissato dall’artic</w:t>
      </w:r>
      <w:r>
        <w:rPr>
          <w:rFonts w:ascii="Arial" w:hAnsi="Arial" w:cs="Arial"/>
        </w:rPr>
        <w:t xml:space="preserve">olo 15, del D.L. 66/2014 che prevede che dal primo maggio 2014 le pubbliche amministrazioni non possano sostenere tali spese per un importo superiore al 30% della spesa del 2011.  </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Per gli enti locali il limite non trova applicazione in caso di autovettur</w:t>
      </w:r>
      <w:r>
        <w:rPr>
          <w:rFonts w:ascii="Arial" w:hAnsi="Arial" w:cs="Arial"/>
        </w:rPr>
        <w:t>e utilizzate:</w:t>
      </w:r>
    </w:p>
    <w:p w:rsidR="00E8351D" w:rsidRDefault="00872F84">
      <w:pPr>
        <w:widowControl w:val="0"/>
        <w:numPr>
          <w:ilvl w:val="0"/>
          <w:numId w:val="2"/>
        </w:numPr>
        <w:tabs>
          <w:tab w:val="left" w:pos="708"/>
          <w:tab w:val="left" w:pos="1133"/>
          <w:tab w:val="left" w:pos="1416"/>
          <w:tab w:val="left" w:pos="1853"/>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1853" w:hanging="360"/>
        <w:jc w:val="both"/>
        <w:rPr>
          <w:rFonts w:ascii="Arial" w:hAnsi="Arial" w:cs="Arial"/>
        </w:rPr>
      </w:pPr>
      <w:r>
        <w:rPr>
          <w:rFonts w:ascii="Arial" w:hAnsi="Arial" w:cs="Arial"/>
        </w:rPr>
        <w:t xml:space="preserve">per i servizi istituzionali di tutela dell'ordine e della sicurezza pubblica, </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highlight w:val="yellow"/>
        </w:rPr>
      </w:pPr>
      <w:r>
        <w:rPr>
          <w:rFonts w:ascii="Arial" w:hAnsi="Arial" w:cs="Arial"/>
        </w:rPr>
        <w:t>per i servizi sociali e sanitari svolti per garantire i livelli essenziali di assistenza.</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Times New Roman" w:hAnsi="Times New Roman" w:cs="Times New Roman"/>
        </w:rPr>
      </w:pPr>
      <w:r>
        <w:rPr>
          <w:rFonts w:ascii="Arial" w:hAnsi="Arial" w:cs="Arial"/>
        </w:rPr>
        <w:t xml:space="preserve"> </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bCs/>
          <w:sz w:val="20"/>
          <w:szCs w:val="20"/>
        </w:rPr>
      </w:pPr>
      <w:r>
        <w:rPr>
          <w:rFonts w:ascii="Arial" w:hAnsi="Arial" w:cs="Arial"/>
          <w:b/>
          <w:bCs/>
          <w:sz w:val="20"/>
          <w:szCs w:val="20"/>
        </w:rPr>
        <w:tab/>
        <w:t>APPLICAZIONE DEI LIMITI AGLI ENTI LOCALI</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sz w:val="20"/>
          <w:szCs w:val="20"/>
        </w:rPr>
      </w:pPr>
      <w:r>
        <w:rPr>
          <w:rFonts w:ascii="Arial" w:hAnsi="Arial" w:cs="Arial"/>
          <w:sz w:val="20"/>
          <w:szCs w:val="20"/>
        </w:rPr>
        <w:t xml:space="preserve">La Corte costituzionale è </w:t>
      </w:r>
      <w:r>
        <w:rPr>
          <w:rFonts w:ascii="Arial" w:hAnsi="Arial" w:cs="Arial"/>
          <w:sz w:val="20"/>
          <w:szCs w:val="20"/>
        </w:rPr>
        <w:t xml:space="preserve">intervenuta più volte negli ultimi anni (sentenze n. 142/2012, n. 148/2012 e n. 193/2012) a chiarire i limiti entro i quali le disposizioni di legge possono essere qualificate come misure di coordinamento della finanza pubblica ai sensi dell’articolo 117, </w:t>
      </w:r>
      <w:r>
        <w:rPr>
          <w:rFonts w:ascii="Arial" w:hAnsi="Arial" w:cs="Arial"/>
          <w:sz w:val="20"/>
          <w:szCs w:val="20"/>
        </w:rPr>
        <w:t>comma 3, della Costituzione. La Consulta, nel solco di una consolidata giurisprudenza in materia di coordinamento della finanza pubblica, considera rispettosi dell’autonomia di spesa delle Regioni e degli enti locali i soli vincoli alle politiche di bilanc</w:t>
      </w:r>
      <w:r>
        <w:rPr>
          <w:rFonts w:ascii="Arial" w:hAnsi="Arial" w:cs="Arial"/>
          <w:sz w:val="20"/>
          <w:szCs w:val="20"/>
        </w:rPr>
        <w:t>io da cui sia possibile desumere un limite complessivo, “</w:t>
      </w:r>
      <w:r>
        <w:rPr>
          <w:rFonts w:ascii="Arial" w:hAnsi="Arial" w:cs="Arial"/>
          <w:i/>
          <w:iCs/>
          <w:sz w:val="20"/>
          <w:szCs w:val="20"/>
        </w:rPr>
        <w:t>lasciando agli enti stessi ampia libertà di allocazione fra i diversi ambiti e obiettivi di spesa</w:t>
      </w:r>
      <w:r>
        <w:rPr>
          <w:rFonts w:ascii="Arial" w:hAnsi="Arial" w:cs="Arial"/>
          <w:sz w:val="20"/>
          <w:szCs w:val="20"/>
        </w:rPr>
        <w:t xml:space="preserve">”. Mutuando tali principi la Corte dei Conti – Sezione autonomie, con deliberazione n. 26/SEZAUT/2013 </w:t>
      </w:r>
      <w:r>
        <w:rPr>
          <w:rFonts w:ascii="Arial" w:hAnsi="Arial" w:cs="Arial"/>
          <w:sz w:val="20"/>
          <w:szCs w:val="20"/>
        </w:rPr>
        <w:t>del 20 dicembre 2013, è intervenuta in materia di applicazione dei limiti di spesa agli enti locali, fornendo una lettura “</w:t>
      </w:r>
      <w:r>
        <w:rPr>
          <w:rFonts w:ascii="Arial" w:hAnsi="Arial" w:cs="Arial"/>
          <w:i/>
          <w:iCs/>
          <w:sz w:val="20"/>
          <w:szCs w:val="20"/>
        </w:rPr>
        <w:t>costituzionalmente orientata</w:t>
      </w:r>
      <w:r>
        <w:rPr>
          <w:rFonts w:ascii="Arial" w:hAnsi="Arial" w:cs="Arial"/>
          <w:sz w:val="20"/>
          <w:szCs w:val="20"/>
        </w:rPr>
        <w:t>” delle norme taglia-spese in base alla quale, a prescindere dal tenore letterale delle disposizioni, gli</w:t>
      </w:r>
      <w:r>
        <w:rPr>
          <w:rFonts w:ascii="Arial" w:hAnsi="Arial" w:cs="Arial"/>
          <w:sz w:val="20"/>
          <w:szCs w:val="20"/>
        </w:rPr>
        <w:t xml:space="preserve"> enti hanno sempre la possibilità di rimodulare i tagli ed effettuare operazioni compensative tra i vari aggregati di spesa, raggiungendo gli obiettivi di risparmio imposti dal legislatore senza compromettere le scelte di valore. Il principio affermato dal</w:t>
      </w:r>
      <w:r>
        <w:rPr>
          <w:rFonts w:ascii="Arial" w:hAnsi="Arial" w:cs="Arial"/>
          <w:sz w:val="20"/>
          <w:szCs w:val="20"/>
        </w:rPr>
        <w:t>la Corte infatti, è che le norme che impongono limiti puntuali alle spese obbligano gli enti locali “</w:t>
      </w:r>
      <w:r>
        <w:rPr>
          <w:rFonts w:ascii="Arial" w:hAnsi="Arial" w:cs="Arial"/>
          <w:i/>
          <w:iCs/>
          <w:sz w:val="20"/>
          <w:szCs w:val="20"/>
        </w:rPr>
        <w:t>al rispetto del tetto complessivo di spesa risultante dall’applicazione dell’insieme dei coefficienti di riduzione della spesa per consumi intermedi previs</w:t>
      </w:r>
      <w:r>
        <w:rPr>
          <w:rFonts w:ascii="Arial" w:hAnsi="Arial" w:cs="Arial"/>
          <w:i/>
          <w:iCs/>
          <w:sz w:val="20"/>
          <w:szCs w:val="20"/>
        </w:rPr>
        <w:t>ti da norme in materia di coordinamento della finanza pubblica, consentendo che lo stanziamento in bilancio tra le diverse tipologie di spese soggette a limitazione avvenga in base alle necessità derivanti dalle attività istituzionali dell’ente</w:t>
      </w:r>
      <w:r>
        <w:rPr>
          <w:rFonts w:ascii="Arial" w:hAnsi="Arial" w:cs="Arial"/>
          <w:sz w:val="20"/>
          <w:szCs w:val="20"/>
        </w:rPr>
        <w:t>.” Pertanto,</w:t>
      </w:r>
      <w:r>
        <w:rPr>
          <w:rFonts w:ascii="Arial" w:hAnsi="Arial" w:cs="Arial"/>
          <w:sz w:val="20"/>
          <w:szCs w:val="20"/>
        </w:rPr>
        <w:t xml:space="preserve"> fermo restando gli obiettivi di risparmio previsti dalla normativa, i limiti possono essere rimodulati nel rispetto dell’autonomia finanziaria degli enti locali.</w:t>
      </w:r>
    </w:p>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jc w:val="both"/>
              <w:rPr>
                <w:rFonts w:ascii="Arial" w:hAnsi="Arial" w:cs="Arial"/>
                <w:i/>
                <w:iCs/>
                <w:color w:val="000080"/>
              </w:rPr>
            </w:pPr>
            <w:r>
              <w:rPr>
                <w:rFonts w:ascii="Arial" w:hAnsi="Arial" w:cs="Arial"/>
                <w:i/>
                <w:iCs/>
                <w:color w:val="000080"/>
              </w:rPr>
              <w:t>2.1.2 Accantonamenti per crediti di dubbia esigibilità</w:t>
            </w:r>
          </w:p>
        </w:tc>
      </w:tr>
    </w:tbl>
    <w:p w:rsidR="00E8351D" w:rsidRDefault="00E8351D">
      <w:pPr>
        <w:widowControl w:val="0"/>
        <w:spacing w:after="0" w:line="240" w:lineRule="auto"/>
        <w:ind w:left="1133" w:right="226"/>
        <w:jc w:val="both"/>
        <w:rPr>
          <w:rFonts w:ascii="Arial" w:hAnsi="Arial" w:cs="Arial"/>
        </w:rPr>
      </w:pPr>
    </w:p>
    <w:p w:rsidR="00E8351D" w:rsidRDefault="00872F84">
      <w:pPr>
        <w:widowControl w:val="0"/>
        <w:spacing w:after="0" w:line="240" w:lineRule="auto"/>
        <w:ind w:left="1133" w:right="226"/>
        <w:jc w:val="both"/>
        <w:rPr>
          <w:rFonts w:ascii="Arial" w:hAnsi="Arial" w:cs="Arial"/>
          <w:sz w:val="24"/>
          <w:szCs w:val="24"/>
        </w:rPr>
      </w:pPr>
      <w:r>
        <w:rPr>
          <w:rFonts w:ascii="Arial" w:hAnsi="Arial" w:cs="Arial"/>
          <w:b/>
          <w:bCs/>
          <w:i/>
          <w:iCs/>
          <w:color w:val="000080"/>
          <w:sz w:val="24"/>
          <w:szCs w:val="24"/>
        </w:rPr>
        <w:t>Rif. Principio Contabile n.1, p.to</w:t>
      </w:r>
      <w:r>
        <w:rPr>
          <w:rFonts w:ascii="Arial" w:hAnsi="Arial" w:cs="Arial"/>
          <w:b/>
          <w:bCs/>
          <w:i/>
          <w:iCs/>
          <w:color w:val="000080"/>
          <w:sz w:val="24"/>
          <w:szCs w:val="24"/>
        </w:rPr>
        <w:t xml:space="preserve"> 9.11 lett. a)</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 xml:space="preserve">Il nuovo principio di competenza finanziaria potenziata impone di accertare per intero tutte le entrate, comprese quelle di dubbia o difficile esazione, ad eccezione di talune tipologie di entrate, tassativamente previste nei Principi </w:t>
      </w:r>
      <w:r>
        <w:rPr>
          <w:rFonts w:ascii="Arial" w:hAnsi="Arial" w:cs="Arial"/>
        </w:rPr>
        <w:t>contabili, quali:</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701" w:hanging="284"/>
        <w:jc w:val="both"/>
        <w:rPr>
          <w:rFonts w:ascii="Arial" w:hAnsi="Arial" w:cs="Arial"/>
        </w:rPr>
      </w:pPr>
      <w:r>
        <w:rPr>
          <w:rFonts w:ascii="Arial" w:hAnsi="Arial" w:cs="Arial"/>
        </w:rPr>
        <w:t>a) entrate provenienti da altre amministrazioni pubbliche,</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701" w:hanging="284"/>
        <w:jc w:val="both"/>
        <w:rPr>
          <w:rFonts w:ascii="Arial" w:hAnsi="Arial" w:cs="Arial"/>
        </w:rPr>
      </w:pPr>
      <w:r>
        <w:rPr>
          <w:rFonts w:ascii="Arial" w:hAnsi="Arial" w:cs="Arial"/>
        </w:rPr>
        <w:t>b) entrate assistite da fidejussione,</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701" w:hanging="284"/>
        <w:jc w:val="both"/>
        <w:rPr>
          <w:rFonts w:ascii="Arial" w:hAnsi="Arial" w:cs="Arial"/>
        </w:rPr>
      </w:pPr>
      <w:r>
        <w:rPr>
          <w:rFonts w:ascii="Arial" w:hAnsi="Arial" w:cs="Arial"/>
        </w:rPr>
        <w:t>c) entrate tributarie che, sulla base del paragrafo 3.7 del principio applicato della contabilità finanziaria, sono accertate per cassa,</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701" w:hanging="284"/>
        <w:jc w:val="both"/>
        <w:rPr>
          <w:rFonts w:ascii="Arial" w:hAnsi="Arial" w:cs="Arial"/>
        </w:rPr>
      </w:pPr>
      <w:r>
        <w:rPr>
          <w:rFonts w:ascii="Arial" w:hAnsi="Arial" w:cs="Arial"/>
        </w:rPr>
        <w:t>d) e</w:t>
      </w:r>
      <w:r>
        <w:rPr>
          <w:rFonts w:ascii="Arial" w:hAnsi="Arial" w:cs="Arial"/>
        </w:rPr>
        <w:t>ntrate riscosse per conto di un altro ente e destinate ad essere versate all’ente beneficiario finale.</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Fatte salve le citate eccezioni, quindi, sono vietati gli accertamenti per cassa.</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Contestualmente, per evidenti ragioni di prudenza e di tutela degli</w:t>
      </w:r>
      <w:r>
        <w:rPr>
          <w:rFonts w:ascii="Arial" w:hAnsi="Arial" w:cs="Arial"/>
        </w:rPr>
        <w:t xml:space="preserve"> equilibri contabili, viene nel contempo previsto l'obbligo di costituire un fondo crediti di dubbia esigibilità. Quest'ultimo rappresenta un fondo rischi, diretto ad evitare che le entrate di dubbia esigibilità, previste ed accertate nel corso dell'eserci</w:t>
      </w:r>
      <w:r>
        <w:rPr>
          <w:rFonts w:ascii="Arial" w:hAnsi="Arial" w:cs="Arial"/>
        </w:rPr>
        <w:t>zio, possano finanziare spese esigibili nel corso del medesimo esercizio. In altri termini, il fondo crediti di dubbia esigibilità rappresenta un accantonamento contabile obbligatorio diretto ad evitare che entrate incerte (quali, ad esempio, i proventi de</w:t>
      </w:r>
      <w:r>
        <w:rPr>
          <w:rFonts w:ascii="Arial" w:hAnsi="Arial" w:cs="Arial"/>
        </w:rPr>
        <w:t xml:space="preserve">lle </w:t>
      </w:r>
      <w:r>
        <w:rPr>
          <w:rFonts w:ascii="Arial" w:hAnsi="Arial" w:cs="Arial"/>
        </w:rPr>
        <w:lastRenderedPageBreak/>
        <w:t xml:space="preserve">sanzioni amministrative al codice della strada e i cd oneri di urbanizzazione) possano finanziare spese certe ed immediatamente esigibili, generando squilibri e aprendo pericolosi "buchi" nei conti. </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Tale fondo deve obbligatoriamente essere iscritto i</w:t>
      </w:r>
      <w:r>
        <w:rPr>
          <w:rFonts w:ascii="Arial" w:hAnsi="Arial" w:cs="Arial"/>
        </w:rPr>
        <w:t>n bilancio: a tal fine è stanziata nel corrente bilancio di previsione la relativa posta contabile (U: 1.10.01.03) il cui ammontare è determinato in considerazione della dimensione degli stanziamenti relativi ai crediti che si prevede si formeranno nell’es</w:t>
      </w:r>
      <w:r>
        <w:rPr>
          <w:rFonts w:ascii="Arial" w:hAnsi="Arial" w:cs="Arial"/>
        </w:rPr>
        <w:t>ercizio, della loro natura e dell’andamento del fenomeno negli ultimi cinque esercizi precedenti (la media del rapporto tra incassi e accertamenti per ciascuna tipologia di entrata).</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Sotto il profilo squisitamente contabile, nel nuovo bilancio finanziario</w:t>
      </w:r>
      <w:r>
        <w:rPr>
          <w:rFonts w:ascii="Arial" w:hAnsi="Arial" w:cs="Arial"/>
        </w:rPr>
        <w:t xml:space="preserve"> di previsione, previsto dal D.Lgs. n. 118/2011, il fondo crediti di dubbia esigibilità è articolato in due distinti stanziamenti: il fondo crediti di dubbia esigibilità riguardante le entrate di dubbia esigibilità del titolo 4 delle entrate (stanziato nel</w:t>
      </w:r>
      <w:r>
        <w:rPr>
          <w:rFonts w:ascii="Arial" w:hAnsi="Arial" w:cs="Arial"/>
        </w:rPr>
        <w:t xml:space="preserve"> titolo 2 delle spese), e il fondo riguardante tutte le altre entrate (stanziato nel titolo 1 della spesa).</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Con riferimento alla individuazione delle entrate di dubbia e difficile esazione, si segnala che tale scelta è rimessa a ciascuna amministrazione,</w:t>
      </w:r>
      <w:r>
        <w:rPr>
          <w:rFonts w:ascii="Arial" w:hAnsi="Arial" w:cs="Arial"/>
        </w:rPr>
        <w:t xml:space="preserve"> con obbligo di motivazione in sede di nota integrativa al bilancio. E' facoltà di ogni ente anche la scelta del livello di analisi (tipologia, categoria oppure singolo capitolo), ma la quantificazione va rendicontata a livello di tipologia sulla base dell</w:t>
      </w:r>
      <w:r>
        <w:rPr>
          <w:rFonts w:ascii="Arial" w:hAnsi="Arial" w:cs="Arial"/>
        </w:rPr>
        <w:t>'apposito prospetto.</w:t>
      </w:r>
    </w:p>
    <w:p w:rsidR="00E8351D" w:rsidRDefault="00E8351D">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ab/>
        <w:t xml:space="preserve">Per quanto riguarda la quantificazione dell’accantonamento, si evidenzia che il comma 509 della Legge di stabilità 2015 ha introdotto una maggiore gradualità nell’applicazione delle nuove regole sullo stanziamento del Fondo crediti </w:t>
      </w:r>
      <w:r>
        <w:rPr>
          <w:rFonts w:ascii="Arial" w:hAnsi="Arial" w:cs="Arial"/>
        </w:rPr>
        <w:t>di dubbia esigibilità nel bilancio preventivo. Nello specifico, si riduce la percentuale minima di accantonamento prevedendone, al tempo stesso, una progressiva crescita nel corso degli anni con ritmi meno traumatici per le finanze dei singoli enti. Nel 20</w:t>
      </w:r>
      <w:r>
        <w:rPr>
          <w:rFonts w:ascii="Arial" w:hAnsi="Arial" w:cs="Arial"/>
        </w:rPr>
        <w:t>17 gli enti locali sono difatti tenuti a stanziare a tale titolo almeno il 70 per cento dell’importo quantificato nel prospetto riguardante il Fondo crediti dubbia esigibilità da allegare al bilancio di previsione.</w:t>
      </w:r>
    </w:p>
    <w:p w:rsidR="00E8351D" w:rsidRDefault="00872F84">
      <w:pPr>
        <w:widowControl w:val="0"/>
        <w:tabs>
          <w:tab w:val="left" w:pos="708"/>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jc w:val="both"/>
        <w:rPr>
          <w:rFonts w:ascii="Arial" w:hAnsi="Arial" w:cs="Arial"/>
        </w:rPr>
      </w:pPr>
      <w:r>
        <w:rPr>
          <w:rFonts w:ascii="Arial" w:hAnsi="Arial" w:cs="Arial"/>
        </w:rPr>
        <w:t>Nel 2018 tale soglia viene fissata al 85%</w:t>
      </w:r>
      <w:r>
        <w:rPr>
          <w:rFonts w:ascii="Arial" w:hAnsi="Arial" w:cs="Arial"/>
        </w:rPr>
        <w:t>. A decorrere dal 2019 l'accantonamento al Fondo è effettuato per l'intero importo.</w:t>
      </w:r>
    </w:p>
    <w:p w:rsidR="00E8351D" w:rsidRDefault="00E8351D">
      <w:pPr>
        <w:widowControl w:val="0"/>
        <w:tabs>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color w:val="FF0000"/>
          <w:shd w:val="clear" w:color="auto" w:fill="FFFF00"/>
        </w:rPr>
      </w:pPr>
    </w:p>
    <w:p w:rsidR="00E8351D" w:rsidRDefault="00E8351D">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jc w:val="both"/>
              <w:rPr>
                <w:rFonts w:ascii="Arial" w:hAnsi="Arial" w:cs="Arial"/>
                <w:i/>
                <w:iCs/>
                <w:color w:val="000080"/>
              </w:rPr>
            </w:pPr>
            <w:r>
              <w:rPr>
                <w:rFonts w:ascii="Arial" w:hAnsi="Arial" w:cs="Arial"/>
                <w:i/>
                <w:iCs/>
                <w:color w:val="000080"/>
              </w:rPr>
              <w:t>2.1.3 Interventi programmati per spese di investimento</w:t>
            </w:r>
          </w:p>
        </w:tc>
      </w:tr>
    </w:tbl>
    <w:p w:rsidR="00E8351D" w:rsidRDefault="00E8351D">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r>
      <w:r>
        <w:rPr>
          <w:rFonts w:ascii="Arial" w:hAnsi="Arial" w:cs="Arial"/>
        </w:rPr>
        <w:t xml:space="preserve">L'articolo 11, comma 5, lettera d) del presente decreto prevede che la nota integrativa indichi l'elenco degli interventi programmati per spese di investimento finanziati col ricorso al debito e con le risorse disponibili. </w:t>
      </w:r>
    </w:p>
    <w:p w:rsidR="00E8351D" w:rsidRDefault="00872F8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L'elenco degli interventi progra</w:t>
      </w:r>
      <w:r>
        <w:rPr>
          <w:rFonts w:ascii="Arial" w:hAnsi="Arial" w:cs="Arial"/>
        </w:rPr>
        <w:t>mmati per spese di investimento, articolato secondo la differente natura delle risorse disponibili, è predisposto con riferimento a ciascun esercizio considerato nel bilancio di previsione, attraverso l'indicazione degli articoli/capitoli e dei relativi in</w:t>
      </w:r>
      <w:r>
        <w:rPr>
          <w:rFonts w:ascii="Arial" w:hAnsi="Arial" w:cs="Arial"/>
        </w:rPr>
        <w:t>vestimenti.</w:t>
      </w:r>
    </w:p>
    <w:p w:rsidR="00E8351D" w:rsidRDefault="00E8351D">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Prima di elencare quali sono i principali lavori pubblici da realizzare nel triennio 2017-2019 e la relativa fonte di finanziamento è bene specificare quali coperture finanziarie il legislatore considera idonee per gli investimenti .</w:t>
      </w:r>
    </w:p>
    <w:p w:rsidR="00E8351D" w:rsidRDefault="00872F8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Le risor</w:t>
      </w:r>
      <w:r>
        <w:rPr>
          <w:rFonts w:ascii="Arial" w:hAnsi="Arial" w:cs="Arial"/>
        </w:rPr>
        <w:t>se destinabili al finanziamento delle spese di investimento sono costituite da:</w:t>
      </w:r>
    </w:p>
    <w:p w:rsidR="00E8351D" w:rsidRDefault="00872F84">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445" w:right="226" w:hanging="312"/>
        <w:jc w:val="both"/>
        <w:rPr>
          <w:rFonts w:ascii="Arial" w:hAnsi="Arial" w:cs="Arial"/>
        </w:rPr>
      </w:pPr>
      <w:r>
        <w:rPr>
          <w:rFonts w:ascii="Arial" w:hAnsi="Arial" w:cs="Arial"/>
        </w:rPr>
        <w:t>a) le entrate correnti (titoli 1, 2 e 3) non destinate al finanziamento delle spese correnti e del rimborso dei prestiti;</w:t>
      </w:r>
    </w:p>
    <w:p w:rsidR="00E8351D" w:rsidRDefault="00872F84">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445" w:right="226" w:hanging="312"/>
        <w:jc w:val="both"/>
        <w:rPr>
          <w:rFonts w:ascii="Arial" w:hAnsi="Arial" w:cs="Arial"/>
        </w:rPr>
      </w:pPr>
      <w:r>
        <w:rPr>
          <w:rFonts w:ascii="Arial" w:hAnsi="Arial" w:cs="Arial"/>
        </w:rPr>
        <w:t>b) le entrate in conto capitale (titolo 4);</w:t>
      </w:r>
    </w:p>
    <w:p w:rsidR="00E8351D" w:rsidRDefault="00872F84">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445" w:right="226" w:hanging="312"/>
        <w:jc w:val="both"/>
        <w:rPr>
          <w:rFonts w:ascii="Arial" w:hAnsi="Arial" w:cs="Arial"/>
        </w:rPr>
      </w:pPr>
      <w:r>
        <w:rPr>
          <w:rFonts w:ascii="Arial" w:hAnsi="Arial" w:cs="Arial"/>
        </w:rPr>
        <w:t>c) le entr</w:t>
      </w:r>
      <w:r>
        <w:rPr>
          <w:rFonts w:ascii="Arial" w:hAnsi="Arial" w:cs="Arial"/>
        </w:rPr>
        <w:t>ate da riduzione di attività finanziarie (titolo 5) eccedenti rispetto alla spese per incremento delle attività finanziarie, destinabili al finanziamento degli investimenti oltre che all'estinzione anticipata dei prestiti;</w:t>
      </w:r>
    </w:p>
    <w:p w:rsidR="00E8351D" w:rsidRDefault="00872F84">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445" w:right="226" w:hanging="312"/>
        <w:jc w:val="both"/>
        <w:rPr>
          <w:rFonts w:ascii="Arial" w:hAnsi="Arial" w:cs="Arial"/>
        </w:rPr>
      </w:pPr>
      <w:r>
        <w:rPr>
          <w:rFonts w:ascii="Arial" w:hAnsi="Arial" w:cs="Arial"/>
        </w:rPr>
        <w:t>d) le entrate da accensione prest</w:t>
      </w:r>
      <w:r>
        <w:rPr>
          <w:rFonts w:ascii="Arial" w:hAnsi="Arial" w:cs="Arial"/>
        </w:rPr>
        <w:t xml:space="preserve">iti (Titolo 5 ), che costituiscono il ricorso al debito. </w:t>
      </w:r>
    </w:p>
    <w:p w:rsidR="00E8351D" w:rsidRDefault="00872F8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 xml:space="preserve"> </w:t>
      </w:r>
    </w:p>
    <w:p w:rsidR="00E8351D" w:rsidRDefault="00872F8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lastRenderedPageBreak/>
        <w:tab/>
      </w:r>
      <w:r>
        <w:rPr>
          <w:rFonts w:ascii="Arial" w:hAnsi="Arial" w:cs="Arial"/>
        </w:rPr>
        <w:t>Le risorse di cui alle lettere da b) a d) costituiscono copertura finanziaria degli impegni concernenti le spese di investimento a seguito dell'accertamento delle entrate, esigibili nell'esercizio in corso di gestione o la cui esigibilità è nella piena dis</w:t>
      </w:r>
      <w:r>
        <w:rPr>
          <w:rFonts w:ascii="Arial" w:hAnsi="Arial" w:cs="Arial"/>
        </w:rPr>
        <w:t xml:space="preserve">crezionalità dell'ente o di altra amministrazione pubblica. </w:t>
      </w:r>
    </w:p>
    <w:p w:rsidR="00E8351D" w:rsidRDefault="00872F84">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Le risorse di cui alla lettera a) costituiscono copertura finanziaria alle spese di investimento, con modalità differenti per impegni imputati all'esercizio in corso di gestione o per gli impegn</w:t>
      </w:r>
      <w:r>
        <w:rPr>
          <w:rFonts w:ascii="Arial" w:hAnsi="Arial" w:cs="Arial"/>
        </w:rPr>
        <w:t>i imputati agli esercizi successivi.</w:t>
      </w:r>
    </w:p>
    <w:p w:rsidR="00E8351D" w:rsidRDefault="00E8351D">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color w:val="000080"/>
                <w:sz w:val="24"/>
                <w:szCs w:val="24"/>
              </w:rPr>
            </w:pPr>
            <w:r>
              <w:rPr>
                <w:rFonts w:ascii="Arial" w:hAnsi="Arial" w:cs="Arial"/>
                <w:b/>
                <w:bCs/>
                <w:color w:val="000080"/>
                <w:sz w:val="24"/>
                <w:szCs w:val="24"/>
              </w:rPr>
              <w:t>2.2 Titolo 2^ Spese in conto capitale</w:t>
            </w:r>
          </w:p>
        </w:tc>
      </w:tr>
    </w:tbl>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 xml:space="preserve">Con il termine </w:t>
      </w:r>
      <w:r>
        <w:rPr>
          <w:rFonts w:ascii="Arial" w:hAnsi="Arial" w:cs="Arial"/>
          <w:i/>
          <w:iCs/>
        </w:rPr>
        <w:t>Spese in conto capitale</w:t>
      </w:r>
      <w:r>
        <w:rPr>
          <w:rFonts w:ascii="Arial" w:hAnsi="Arial" w:cs="Arial"/>
        </w:rPr>
        <w:t xml:space="preserve"> generalmente si fa riferimento a tutti quegli oneri necessari per l'acquisizione di beni a fecondità ripetuta indispensabili per l'eserciz</w:t>
      </w:r>
      <w:r>
        <w:rPr>
          <w:rFonts w:ascii="Arial" w:hAnsi="Arial" w:cs="Arial"/>
        </w:rPr>
        <w:t xml:space="preserve">io delle funzioni di competenza dell'ente e diretti ad incrementarne il patrimonio. </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Come per le spese del titolo 1^, anche per quelle in conto capitale l'analisi per missioni costituisce il primo livello di esame disaggregato del valore complessivo del t</w:t>
      </w:r>
      <w:r>
        <w:rPr>
          <w:rFonts w:ascii="Arial" w:hAnsi="Arial" w:cs="Arial"/>
        </w:rPr>
        <w:t>itolo 2^.</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Abbiamo già segnalato in precedenza che l'analisi condotta confrontando l'entità di spesa per missione rispetto al totale complessivo del titolo evidenzia l'orientamento dell'amministrazione nella soddisfazione di taluni bisogni della collettivi</w:t>
      </w:r>
      <w:r>
        <w:rPr>
          <w:rFonts w:ascii="Arial" w:hAnsi="Arial" w:cs="Arial"/>
        </w:rPr>
        <w:t>tà piuttosto che verso altri. Nelle tabelle sottostanti viene presentata la composizione del titolo 2^ per missione nel bilancio annuale 2017.</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 xml:space="preserve">E' opportuno, a tal riguardo, segnalare come la destinazione delle spese per investimento verso talune finalità </w:t>
      </w:r>
      <w:r>
        <w:rPr>
          <w:rFonts w:ascii="Arial" w:hAnsi="Arial" w:cs="Arial"/>
        </w:rPr>
        <w:t>rispetto ad altre evidenzia l'effetto sia delle scelte strutturali poste dall'amministrazione, sia della loro incidenza sulla composizione quantitativa e qualitativa del patrimonio.</w:t>
      </w:r>
    </w:p>
    <w:p w:rsidR="00E8351D" w:rsidRDefault="00E8351D">
      <w:pPr>
        <w:widowControl w:val="0"/>
        <w:spacing w:after="0" w:line="240" w:lineRule="auto"/>
        <w:ind w:right="226"/>
        <w:jc w:val="both"/>
        <w:rPr>
          <w:rFonts w:ascii="Arial" w:hAnsi="Arial" w:cs="Arial"/>
        </w:rPr>
      </w:pPr>
    </w:p>
    <w:p w:rsidR="00E8351D" w:rsidRDefault="00E8351D">
      <w:pPr>
        <w:widowControl w:val="0"/>
        <w:spacing w:after="0" w:line="240" w:lineRule="auto"/>
        <w:ind w:left="1133" w:right="226"/>
        <w:jc w:val="both"/>
        <w:rPr>
          <w:rFonts w:ascii="Arial" w:hAnsi="Arial" w:cs="Arial"/>
          <w:shd w:val="clear" w:color="auto" w:fill="FFFF00"/>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rPr>
                <w:rFonts w:ascii="Arial" w:hAnsi="Arial" w:cs="Arial"/>
              </w:rPr>
            </w:pPr>
            <w:r>
              <w:tab/>
            </w:r>
            <w:r>
              <w:rPr>
                <w:rFonts w:ascii="Arial" w:hAnsi="Arial" w:cs="Arial"/>
                <w:i/>
                <w:iCs/>
              </w:rPr>
              <w:t>2.2.1 Il programma triennale degli investimenti</w:t>
            </w:r>
          </w:p>
          <w:p w:rsidR="00E8351D" w:rsidRDefault="00E8351D">
            <w:pPr>
              <w:widowControl w:val="0"/>
              <w:spacing w:after="0" w:line="240" w:lineRule="auto"/>
              <w:jc w:val="both"/>
              <w:rPr>
                <w:rFonts w:ascii="Arial" w:hAnsi="Arial" w:cs="Arial"/>
                <w:i/>
                <w:iCs/>
                <w:color w:val="000080"/>
                <w:sz w:val="24"/>
                <w:szCs w:val="24"/>
                <w:shd w:val="clear" w:color="auto" w:fill="FFFF00"/>
              </w:rPr>
            </w:pPr>
          </w:p>
        </w:tc>
      </w:tr>
    </w:tbl>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right="226"/>
        <w:jc w:val="both"/>
        <w:rPr>
          <w:rFonts w:ascii="Arial" w:hAnsi="Arial" w:cs="Arial"/>
          <w:b/>
          <w:shd w:val="clear" w:color="auto" w:fill="FFFF00"/>
        </w:rPr>
      </w:pPr>
    </w:p>
    <w:p w:rsidR="00E8351D" w:rsidRDefault="00872F84">
      <w:pPr>
        <w:rPr>
          <w:b/>
        </w:rPr>
      </w:pPr>
      <w:r>
        <w:rPr>
          <w:b/>
          <w:iCs/>
        </w:rPr>
        <w:t>Vedi Allegato A)</w:t>
      </w: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1133" w:right="226"/>
        <w:jc w:val="both"/>
        <w:rPr>
          <w:rFonts w:ascii="Arial" w:hAnsi="Arial" w:cs="Arial"/>
          <w:shd w:val="clear" w:color="auto" w:fill="FFFF00"/>
        </w:rPr>
      </w:pPr>
    </w:p>
    <w:p w:rsidR="00E8351D" w:rsidRDefault="00E8351D">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right="226"/>
        <w:jc w:val="both"/>
        <w:rPr>
          <w:rFonts w:ascii="Arial" w:hAnsi="Arial" w:cs="Arial"/>
          <w:shd w:val="clear" w:color="auto" w:fill="FFFF00"/>
        </w:rPr>
      </w:pPr>
    </w:p>
    <w:p w:rsidR="00E8351D" w:rsidRDefault="00E8351D">
      <w:pPr>
        <w:widowControl w:val="0"/>
        <w:spacing w:after="0" w:line="240" w:lineRule="auto"/>
        <w:ind w:right="226"/>
        <w:jc w:val="both"/>
        <w:rPr>
          <w:rFonts w:ascii="Arial" w:hAnsi="Arial" w:cs="Arial"/>
          <w:color w:val="000000"/>
        </w:rPr>
      </w:pPr>
    </w:p>
    <w:p w:rsidR="00E8351D" w:rsidRDefault="00E8351D">
      <w:pPr>
        <w:widowControl w:val="0"/>
        <w:spacing w:after="0" w:line="240" w:lineRule="auto"/>
        <w:ind w:right="226"/>
        <w:jc w:val="both"/>
        <w:rPr>
          <w:rFonts w:ascii="Arial" w:hAnsi="Arial" w:cs="Arial"/>
          <w:b/>
          <w:bCs/>
          <w:color w:val="000080"/>
          <w:sz w:val="16"/>
          <w:szCs w:val="16"/>
        </w:rPr>
      </w:pPr>
    </w:p>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rPr>
      </w:pPr>
    </w:p>
    <w:tbl>
      <w:tblPr>
        <w:tblW w:w="10314" w:type="dxa"/>
        <w:tblBorders>
          <w:top w:val="single" w:sz="4" w:space="0" w:color="00000A"/>
          <w:bottom w:val="single" w:sz="4" w:space="0" w:color="00000A"/>
          <w:insideH w:val="single" w:sz="4" w:space="0" w:color="00000A"/>
        </w:tblBorders>
        <w:tblLook w:val="0000" w:firstRow="0" w:lastRow="0" w:firstColumn="0" w:lastColumn="0" w:noHBand="0" w:noVBand="0"/>
      </w:tblPr>
      <w:tblGrid>
        <w:gridCol w:w="10314"/>
      </w:tblGrid>
      <w:tr w:rsidR="00E8351D">
        <w:tc>
          <w:tcPr>
            <w:tcW w:w="10314" w:type="dxa"/>
            <w:tcBorders>
              <w:top w:val="single" w:sz="4" w:space="0" w:color="00000A"/>
              <w:bottom w:val="single" w:sz="4" w:space="0" w:color="00000A"/>
            </w:tcBorders>
            <w:shd w:val="clear" w:color="auto" w:fill="auto"/>
          </w:tcPr>
          <w:p w:rsidR="00E8351D" w:rsidRDefault="00872F84">
            <w:pPr>
              <w:widowControl w:val="0"/>
              <w:spacing w:after="0" w:line="240" w:lineRule="auto"/>
              <w:rPr>
                <w:rFonts w:ascii="Arial" w:hAnsi="Arial" w:cs="Arial"/>
                <w:color w:val="000080"/>
                <w:sz w:val="24"/>
                <w:szCs w:val="24"/>
              </w:rPr>
            </w:pPr>
            <w:r>
              <w:rPr>
                <w:rFonts w:ascii="Arial" w:hAnsi="Arial" w:cs="Arial"/>
                <w:b/>
                <w:bCs/>
                <w:color w:val="000080"/>
                <w:sz w:val="24"/>
                <w:szCs w:val="24"/>
              </w:rPr>
              <w:t>2.3 Titolo 4^ Spese per rimborso di prestiti</w:t>
            </w:r>
          </w:p>
        </w:tc>
      </w:tr>
    </w:tbl>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widowControl w:val="0"/>
        <w:tabs>
          <w:tab w:val="left" w:pos="1417"/>
        </w:tabs>
        <w:spacing w:after="0" w:line="240" w:lineRule="auto"/>
        <w:ind w:left="1133" w:right="226"/>
        <w:jc w:val="both"/>
        <w:rPr>
          <w:rFonts w:ascii="Arial" w:hAnsi="Arial" w:cs="Arial"/>
        </w:rPr>
      </w:pPr>
      <w:r>
        <w:rPr>
          <w:rFonts w:ascii="Arial" w:hAnsi="Arial" w:cs="Arial"/>
        </w:rPr>
        <w:tab/>
        <w:t xml:space="preserve">Il titolo 4^ della spesa presenta gli oneri da sostenere nel corso dell'anno per il rimborso delle quote capitale riferite a prestiti contratti negli anni precedenti; si ricorda, a </w:t>
      </w:r>
      <w:r>
        <w:rPr>
          <w:rFonts w:ascii="Arial" w:hAnsi="Arial" w:cs="Arial"/>
        </w:rPr>
        <w:t>riguardo, che la parte della rata riferita agli interessi passivi è iscritta nel Titolo 1^ della spesa.</w:t>
      </w:r>
    </w:p>
    <w:p w:rsidR="00E8351D" w:rsidRDefault="00E8351D">
      <w:pPr>
        <w:widowControl w:val="0"/>
        <w:tabs>
          <w:tab w:val="left" w:pos="1417"/>
        </w:tabs>
        <w:spacing w:after="0" w:line="240" w:lineRule="auto"/>
        <w:ind w:left="1133" w:right="226"/>
        <w:jc w:val="both"/>
        <w:rPr>
          <w:rFonts w:ascii="Arial" w:hAnsi="Arial" w:cs="Arial"/>
        </w:rPr>
      </w:pP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L'analisi economico-funzionale delle "</w:t>
      </w:r>
      <w:r>
        <w:rPr>
          <w:rFonts w:ascii="Arial" w:hAnsi="Arial" w:cs="Arial"/>
          <w:i/>
          <w:iCs/>
        </w:rPr>
        <w:t xml:space="preserve">Spese per rimborso di prestiti", </w:t>
      </w:r>
      <w:r>
        <w:rPr>
          <w:rFonts w:ascii="Arial" w:hAnsi="Arial" w:cs="Arial"/>
        </w:rPr>
        <w:t xml:space="preserve">tralasciando l'unica missione prevista a riguardo (la n. 50), viene svolta con </w:t>
      </w:r>
      <w:r>
        <w:rPr>
          <w:rFonts w:ascii="Arial" w:hAnsi="Arial" w:cs="Arial"/>
        </w:rPr>
        <w:t xml:space="preserve">riferimento ai soli macroaggregati e permette di comprendere la composizione dello stock di indebitamento, differenziando quelle riferibili a mutui da quelle per rimborso di prestiti obbligazionari. </w:t>
      </w: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 xml:space="preserve">Nelle tabelle sottostanti viene presentata la relativa </w:t>
      </w:r>
      <w:r>
        <w:rPr>
          <w:rFonts w:ascii="Arial" w:hAnsi="Arial" w:cs="Arial"/>
        </w:rPr>
        <w:t>previsione di spesa con riferimento dapprima al triennio 2017/2019.</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widowControl w:val="0"/>
        <w:spacing w:after="0" w:line="240" w:lineRule="auto"/>
        <w:ind w:right="226"/>
        <w:jc w:val="both"/>
        <w:rPr>
          <w:rFonts w:ascii="Arial" w:hAnsi="Arial" w:cs="Arial"/>
          <w:b/>
          <w:bCs/>
        </w:rPr>
      </w:pPr>
      <w:r>
        <w:rPr>
          <w:rFonts w:ascii="Arial" w:hAnsi="Arial" w:cs="Arial"/>
          <w:b/>
          <w:bCs/>
          <w:color w:val="000080"/>
          <w:sz w:val="20"/>
          <w:szCs w:val="20"/>
        </w:rPr>
        <w:t>Le previsioni 2017</w:t>
      </w:r>
    </w:p>
    <w:tbl>
      <w:tblPr>
        <w:tblW w:w="10279" w:type="dxa"/>
        <w:tblInd w:w="-15" w:type="dxa"/>
        <w:tblBorders>
          <w:top w:val="single" w:sz="8" w:space="0" w:color="00000A"/>
          <w:left w:val="single" w:sz="6" w:space="0" w:color="00000A"/>
          <w:bottom w:val="single" w:sz="8" w:space="0" w:color="00000A"/>
          <w:right w:val="single" w:sz="6" w:space="0" w:color="00000A"/>
          <w:insideH w:val="single" w:sz="8" w:space="0" w:color="00000A"/>
          <w:insideV w:val="single" w:sz="6" w:space="0" w:color="00000A"/>
        </w:tblBorders>
        <w:tblCellMar>
          <w:top w:w="170" w:type="dxa"/>
          <w:left w:w="35" w:type="dxa"/>
          <w:bottom w:w="170" w:type="dxa"/>
          <w:right w:w="51" w:type="dxa"/>
        </w:tblCellMar>
        <w:tblLook w:val="0000" w:firstRow="0" w:lastRow="0" w:firstColumn="0" w:lastColumn="0" w:noHBand="0" w:noVBand="0"/>
      </w:tblPr>
      <w:tblGrid>
        <w:gridCol w:w="5119"/>
        <w:gridCol w:w="1742"/>
        <w:gridCol w:w="1700"/>
        <w:gridCol w:w="1718"/>
      </w:tblGrid>
      <w:tr w:rsidR="00E8351D">
        <w:tc>
          <w:tcPr>
            <w:tcW w:w="5118"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MISSIONI - PROGRAMMA (TIT. 4^ SPESA)</w:t>
            </w:r>
          </w:p>
        </w:tc>
        <w:tc>
          <w:tcPr>
            <w:tcW w:w="1742"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2017</w:t>
            </w:r>
          </w:p>
        </w:tc>
        <w:tc>
          <w:tcPr>
            <w:tcW w:w="1700"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2018</w:t>
            </w:r>
          </w:p>
        </w:tc>
        <w:tc>
          <w:tcPr>
            <w:tcW w:w="1718" w:type="dxa"/>
            <w:tcBorders>
              <w:top w:val="single" w:sz="8" w:space="0" w:color="00000A"/>
              <w:left w:val="single" w:sz="6" w:space="0" w:color="00000A"/>
              <w:bottom w:val="single" w:sz="8" w:space="0" w:color="00000A"/>
              <w:right w:val="single" w:sz="6" w:space="0" w:color="00000A"/>
            </w:tcBorders>
            <w:shd w:val="clear" w:color="auto" w:fill="F2F2F2"/>
            <w:tcMar>
              <w:left w:w="35" w:type="dxa"/>
            </w:tcMar>
            <w:vAlign w:val="center"/>
          </w:tcPr>
          <w:p w:rsidR="00E8351D" w:rsidRDefault="00872F84">
            <w:pPr>
              <w:widowControl w:val="0"/>
              <w:spacing w:after="0" w:line="240" w:lineRule="auto"/>
              <w:jc w:val="center"/>
              <w:rPr>
                <w:rFonts w:ascii="Arial" w:hAnsi="Arial" w:cs="Arial"/>
                <w:b/>
                <w:bCs/>
                <w:color w:val="000080"/>
                <w:sz w:val="16"/>
                <w:szCs w:val="16"/>
              </w:rPr>
            </w:pPr>
            <w:r>
              <w:rPr>
                <w:rFonts w:ascii="Arial" w:hAnsi="Arial" w:cs="Arial"/>
                <w:b/>
                <w:bCs/>
                <w:color w:val="000080"/>
                <w:sz w:val="16"/>
                <w:szCs w:val="16"/>
              </w:rPr>
              <w:t>2019</w:t>
            </w:r>
          </w:p>
        </w:tc>
      </w:tr>
      <w:tr w:rsidR="00E8351D">
        <w:tc>
          <w:tcPr>
            <w:tcW w:w="51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rPr>
                <w:rFonts w:ascii="Arial" w:hAnsi="Arial" w:cs="Arial"/>
                <w:sz w:val="12"/>
                <w:szCs w:val="12"/>
              </w:rPr>
            </w:pPr>
          </w:p>
        </w:tc>
        <w:tc>
          <w:tcPr>
            <w:tcW w:w="1742"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c>
          <w:tcPr>
            <w:tcW w:w="1700"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c>
          <w:tcPr>
            <w:tcW w:w="1718" w:type="dxa"/>
            <w:tcBorders>
              <w:top w:val="single" w:sz="6" w:space="0" w:color="00000A"/>
              <w:left w:val="single" w:sz="6" w:space="0" w:color="00000A"/>
              <w:bottom w:val="single" w:sz="6" w:space="0" w:color="00000A"/>
              <w:right w:val="single" w:sz="6" w:space="0" w:color="00000A"/>
            </w:tcBorders>
            <w:shd w:val="clear" w:color="auto" w:fill="auto"/>
            <w:tcMar>
              <w:left w:w="42" w:type="dxa"/>
            </w:tcMar>
            <w:vAlign w:val="bottom"/>
          </w:tcPr>
          <w:p w:rsidR="00E8351D" w:rsidRDefault="00E8351D">
            <w:pPr>
              <w:widowControl w:val="0"/>
              <w:spacing w:after="0" w:line="240" w:lineRule="auto"/>
              <w:jc w:val="right"/>
              <w:rPr>
                <w:rFonts w:ascii="Arial" w:hAnsi="Arial" w:cs="Arial"/>
                <w:sz w:val="12"/>
                <w:szCs w:val="12"/>
              </w:rPr>
            </w:pPr>
          </w:p>
        </w:tc>
      </w:tr>
      <w:tr w:rsidR="00E8351D">
        <w:tc>
          <w:tcPr>
            <w:tcW w:w="5118"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rPr>
                <w:rFonts w:ascii="Arial" w:hAnsi="Arial" w:cs="Arial"/>
                <w:b/>
                <w:bCs/>
                <w:sz w:val="14"/>
                <w:szCs w:val="14"/>
              </w:rPr>
            </w:pPr>
            <w:r>
              <w:rPr>
                <w:rFonts w:ascii="Arial" w:hAnsi="Arial" w:cs="Arial"/>
                <w:b/>
                <w:bCs/>
                <w:sz w:val="14"/>
                <w:szCs w:val="14"/>
              </w:rPr>
              <w:t>TOTALE TITOLO 4</w:t>
            </w:r>
          </w:p>
        </w:tc>
        <w:tc>
          <w:tcPr>
            <w:tcW w:w="1742"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sz w:val="14"/>
                <w:szCs w:val="14"/>
              </w:rPr>
              <w:t>3.673.730,93</w:t>
            </w:r>
          </w:p>
        </w:tc>
        <w:tc>
          <w:tcPr>
            <w:tcW w:w="1700"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sz w:val="14"/>
                <w:szCs w:val="14"/>
              </w:rPr>
              <w:t>3.853.011,53</w:t>
            </w:r>
          </w:p>
        </w:tc>
        <w:tc>
          <w:tcPr>
            <w:tcW w:w="1718" w:type="dxa"/>
            <w:tcBorders>
              <w:top w:val="single" w:sz="6" w:space="0" w:color="00000A"/>
              <w:left w:val="single" w:sz="6" w:space="0" w:color="00000A"/>
              <w:bottom w:val="single" w:sz="8" w:space="0" w:color="00000A"/>
              <w:right w:val="single" w:sz="6" w:space="0" w:color="00000A"/>
            </w:tcBorders>
            <w:shd w:val="clear" w:color="auto" w:fill="F2F2F2"/>
            <w:tcMar>
              <w:left w:w="42" w:type="dxa"/>
            </w:tcMar>
            <w:vAlign w:val="bottom"/>
          </w:tcPr>
          <w:p w:rsidR="00E8351D" w:rsidRDefault="00872F84">
            <w:pPr>
              <w:widowControl w:val="0"/>
              <w:spacing w:after="0" w:line="240" w:lineRule="auto"/>
              <w:jc w:val="right"/>
            </w:pPr>
            <w:r>
              <w:rPr>
                <w:rFonts w:ascii="Arial" w:hAnsi="Arial" w:cs="Arial"/>
                <w:sz w:val="14"/>
                <w:szCs w:val="14"/>
              </w:rPr>
              <w:t>3.523.411,48</w:t>
            </w:r>
          </w:p>
        </w:tc>
      </w:tr>
    </w:tbl>
    <w:p w:rsidR="00E8351D" w:rsidRDefault="00E8351D">
      <w:pPr>
        <w:widowControl w:val="0"/>
        <w:spacing w:after="0" w:line="240" w:lineRule="auto"/>
        <w:ind w:left="1133" w:right="226"/>
        <w:jc w:val="both"/>
        <w:rPr>
          <w:rFonts w:ascii="Arial" w:hAnsi="Arial" w:cs="Arial"/>
          <w:b/>
          <w:bCs/>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sz w:val="24"/>
          <w:szCs w:val="24"/>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sz w:val="24"/>
          <w:szCs w:val="24"/>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sz w:val="24"/>
          <w:szCs w:val="24"/>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sz w:val="24"/>
          <w:szCs w:val="24"/>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E8351D">
      <w:pPr>
        <w:widowControl w:val="0"/>
        <w:tabs>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sz w:val="24"/>
          <w:szCs w:val="24"/>
        </w:rPr>
      </w:pPr>
    </w:p>
    <w:tbl>
      <w:tblPr>
        <w:tblW w:w="5580" w:type="dxa"/>
        <w:tblInd w:w="2309" w:type="dxa"/>
        <w:tblCellMar>
          <w:left w:w="36" w:type="dxa"/>
          <w:right w:w="36" w:type="dxa"/>
        </w:tblCellMar>
        <w:tblLook w:val="0000" w:firstRow="0" w:lastRow="0" w:firstColumn="0" w:lastColumn="0" w:noHBand="0" w:noVBand="0"/>
      </w:tblPr>
      <w:tblGrid>
        <w:gridCol w:w="5580"/>
      </w:tblGrid>
      <w:tr w:rsidR="00E8351D">
        <w:tc>
          <w:tcPr>
            <w:tcW w:w="5580" w:type="dxa"/>
            <w:shd w:val="clear" w:color="auto" w:fill="D9D9D9"/>
          </w:tcPr>
          <w:p w:rsidR="00E8351D" w:rsidRDefault="00E8351D">
            <w:pPr>
              <w:widowControl w:val="0"/>
              <w:tabs>
                <w:tab w:val="left" w:pos="113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b/>
                <w:bCs/>
                <w:color w:val="000080"/>
                <w:sz w:val="72"/>
                <w:szCs w:val="72"/>
              </w:rPr>
            </w:pP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TERZA</w:t>
            </w: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PARTE</w:t>
            </w:r>
          </w:p>
          <w:p w:rsidR="00E8351D" w:rsidRDefault="00E8351D">
            <w:pPr>
              <w:widowControl w:val="0"/>
              <w:spacing w:after="0" w:line="240" w:lineRule="auto"/>
              <w:jc w:val="center"/>
              <w:rPr>
                <w:rFonts w:ascii="Arial" w:hAnsi="Arial" w:cs="Arial"/>
                <w:color w:val="000080"/>
                <w:sz w:val="72"/>
                <w:szCs w:val="72"/>
              </w:rPr>
            </w:pPr>
          </w:p>
        </w:tc>
      </w:tr>
      <w:tr w:rsidR="00E8351D">
        <w:tc>
          <w:tcPr>
            <w:tcW w:w="5580" w:type="dxa"/>
            <w:shd w:val="clear" w:color="auto" w:fill="D9D9D9"/>
          </w:tcPr>
          <w:p w:rsidR="00E8351D" w:rsidRDefault="00E8351D">
            <w:pPr>
              <w:widowControl w:val="0"/>
              <w:spacing w:after="0" w:line="240" w:lineRule="auto"/>
              <w:rPr>
                <w:rFonts w:ascii="Arial" w:hAnsi="Arial" w:cs="Arial"/>
                <w:sz w:val="24"/>
                <w:szCs w:val="24"/>
              </w:rPr>
            </w:pPr>
          </w:p>
          <w:p w:rsidR="00E8351D" w:rsidRDefault="00872F84">
            <w:pPr>
              <w:widowControl w:val="0"/>
              <w:spacing w:after="0" w:line="240" w:lineRule="auto"/>
              <w:jc w:val="center"/>
              <w:rPr>
                <w:rFonts w:ascii="Arial" w:hAnsi="Arial" w:cs="Arial"/>
                <w:sz w:val="24"/>
                <w:szCs w:val="24"/>
              </w:rPr>
            </w:pPr>
            <w:r>
              <w:rPr>
                <w:noProof/>
                <w:lang w:eastAsia="it-IT"/>
              </w:rPr>
              <w:drawing>
                <wp:inline distT="0" distB="0" distL="0" distR="0">
                  <wp:extent cx="2943225" cy="197167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a:picLocks noChangeAspect="1" noChangeArrowheads="1"/>
                          </pic:cNvPicPr>
                        </pic:nvPicPr>
                        <pic:blipFill>
                          <a:blip r:embed="rId9"/>
                          <a:stretch>
                            <a:fillRect/>
                          </a:stretch>
                        </pic:blipFill>
                        <pic:spPr bwMode="auto">
                          <a:xfrm>
                            <a:off x="0" y="0"/>
                            <a:ext cx="2943225" cy="1971675"/>
                          </a:xfrm>
                          <a:prstGeom prst="rect">
                            <a:avLst/>
                          </a:prstGeom>
                        </pic:spPr>
                      </pic:pic>
                    </a:graphicData>
                  </a:graphic>
                </wp:inline>
              </w:drawing>
            </w:r>
          </w:p>
          <w:p w:rsidR="00E8351D" w:rsidRDefault="00E8351D">
            <w:pPr>
              <w:widowControl w:val="0"/>
              <w:spacing w:after="0" w:line="240" w:lineRule="auto"/>
              <w:rPr>
                <w:rFonts w:ascii="Arial" w:hAnsi="Arial" w:cs="Arial"/>
                <w:color w:val="000080"/>
                <w:sz w:val="24"/>
                <w:szCs w:val="24"/>
              </w:rPr>
            </w:pPr>
          </w:p>
        </w:tc>
      </w:tr>
      <w:tr w:rsidR="00E8351D">
        <w:tc>
          <w:tcPr>
            <w:tcW w:w="5580" w:type="dxa"/>
            <w:shd w:val="clear" w:color="auto" w:fill="D9D9D9"/>
          </w:tcPr>
          <w:p w:rsidR="00E8351D" w:rsidRDefault="00E8351D">
            <w:pPr>
              <w:widowControl w:val="0"/>
              <w:spacing w:after="0" w:line="240" w:lineRule="auto"/>
              <w:jc w:val="center"/>
              <w:rPr>
                <w:rFonts w:ascii="Arial" w:hAnsi="Arial" w:cs="Arial"/>
                <w:color w:val="000080"/>
                <w:sz w:val="24"/>
                <w:szCs w:val="24"/>
              </w:rPr>
            </w:pPr>
          </w:p>
          <w:p w:rsidR="00E8351D" w:rsidRDefault="00E8351D">
            <w:pPr>
              <w:widowControl w:val="0"/>
              <w:spacing w:after="0" w:line="240" w:lineRule="auto"/>
              <w:jc w:val="center"/>
              <w:rPr>
                <w:rFonts w:ascii="Arial" w:hAnsi="Arial" w:cs="Arial"/>
                <w:color w:val="000080"/>
                <w:sz w:val="24"/>
                <w:szCs w:val="24"/>
              </w:rPr>
            </w:pPr>
          </w:p>
          <w:p w:rsidR="00E8351D" w:rsidRDefault="00872F84">
            <w:pPr>
              <w:widowControl w:val="0"/>
              <w:spacing w:after="0" w:line="240" w:lineRule="auto"/>
              <w:jc w:val="center"/>
              <w:rPr>
                <w:rFonts w:ascii="Arial" w:hAnsi="Arial" w:cs="Arial"/>
                <w:color w:val="000080"/>
                <w:sz w:val="48"/>
                <w:szCs w:val="48"/>
              </w:rPr>
            </w:pPr>
            <w:r>
              <w:rPr>
                <w:rFonts w:ascii="Arial" w:hAnsi="Arial" w:cs="Arial"/>
                <w:color w:val="000080"/>
                <w:sz w:val="48"/>
                <w:szCs w:val="48"/>
              </w:rPr>
              <w:t>L'AVANZO /</w:t>
            </w:r>
          </w:p>
          <w:p w:rsidR="00E8351D" w:rsidRDefault="00872F84">
            <w:pPr>
              <w:widowControl w:val="0"/>
              <w:spacing w:after="0" w:line="240" w:lineRule="auto"/>
              <w:jc w:val="center"/>
              <w:rPr>
                <w:rFonts w:ascii="Arial" w:hAnsi="Arial" w:cs="Arial"/>
                <w:color w:val="000080"/>
                <w:sz w:val="48"/>
                <w:szCs w:val="48"/>
              </w:rPr>
            </w:pPr>
            <w:r>
              <w:rPr>
                <w:rFonts w:ascii="Arial" w:hAnsi="Arial" w:cs="Arial"/>
                <w:color w:val="000080"/>
                <w:sz w:val="48"/>
                <w:szCs w:val="48"/>
              </w:rPr>
              <w:t>DISAVANZO</w:t>
            </w:r>
          </w:p>
          <w:p w:rsidR="00E8351D" w:rsidRDefault="00872F84">
            <w:pPr>
              <w:widowControl w:val="0"/>
              <w:spacing w:after="0" w:line="240" w:lineRule="auto"/>
              <w:jc w:val="center"/>
              <w:rPr>
                <w:rFonts w:ascii="Arial" w:hAnsi="Arial" w:cs="Arial"/>
                <w:color w:val="000080"/>
                <w:sz w:val="48"/>
                <w:szCs w:val="48"/>
              </w:rPr>
            </w:pPr>
            <w:r>
              <w:rPr>
                <w:rFonts w:ascii="Arial" w:hAnsi="Arial" w:cs="Arial"/>
                <w:color w:val="000080"/>
                <w:sz w:val="48"/>
                <w:szCs w:val="48"/>
              </w:rPr>
              <w:t>ED I VINCOLI SUL RISULTATO DI AMMINISTRAZIONE</w:t>
            </w:r>
          </w:p>
          <w:p w:rsidR="00E8351D" w:rsidRDefault="00E8351D">
            <w:pPr>
              <w:widowControl w:val="0"/>
              <w:spacing w:after="0" w:line="240" w:lineRule="auto"/>
              <w:jc w:val="center"/>
              <w:rPr>
                <w:rFonts w:ascii="Arial" w:hAnsi="Arial" w:cs="Arial"/>
                <w:color w:val="000080"/>
                <w:sz w:val="48"/>
                <w:szCs w:val="48"/>
              </w:rPr>
            </w:pPr>
          </w:p>
          <w:p w:rsidR="00E8351D" w:rsidRDefault="00E8351D">
            <w:pPr>
              <w:widowControl w:val="0"/>
              <w:spacing w:after="0" w:line="240" w:lineRule="auto"/>
              <w:jc w:val="center"/>
              <w:rPr>
                <w:rFonts w:ascii="Arial" w:hAnsi="Arial" w:cs="Arial"/>
                <w:color w:val="000080"/>
                <w:sz w:val="24"/>
                <w:szCs w:val="24"/>
              </w:rPr>
            </w:pPr>
          </w:p>
        </w:tc>
      </w:tr>
    </w:tbl>
    <w:p w:rsidR="00E8351D" w:rsidRDefault="00E8351D">
      <w:pPr>
        <w:widowControl w:val="0"/>
        <w:spacing w:after="0" w:line="240" w:lineRule="auto"/>
        <w:ind w:left="2267" w:right="2267"/>
        <w:rPr>
          <w:rFonts w:ascii="Arial" w:hAnsi="Arial" w:cs="Arial"/>
          <w:sz w:val="24"/>
          <w:szCs w:val="24"/>
        </w:rPr>
      </w:pPr>
    </w:p>
    <w:p w:rsidR="00E8351D" w:rsidRDefault="00E8351D">
      <w:pPr>
        <w:widowControl w:val="0"/>
        <w:spacing w:after="0" w:line="240" w:lineRule="auto"/>
        <w:jc w:val="both"/>
        <w:rPr>
          <w:rFonts w:ascii="Arial" w:hAnsi="Arial" w:cs="Arial"/>
          <w:sz w:val="24"/>
          <w:szCs w:val="24"/>
        </w:rPr>
      </w:pPr>
    </w:p>
    <w:p w:rsidR="00E8351D" w:rsidRDefault="00872F84">
      <w:pPr>
        <w:widowControl w:val="0"/>
        <w:spacing w:after="0" w:line="240" w:lineRule="auto"/>
        <w:jc w:val="both"/>
        <w:rPr>
          <w:rFonts w:ascii="Arial" w:hAnsi="Arial" w:cs="Arial"/>
          <w:sz w:val="24"/>
          <w:szCs w:val="24"/>
        </w:rPr>
      </w:pPr>
      <w:r>
        <w:br w:type="page"/>
      </w:r>
    </w:p>
    <w:tbl>
      <w:tblPr>
        <w:tblW w:w="10314" w:type="dxa"/>
        <w:tblLook w:val="0000" w:firstRow="0" w:lastRow="0" w:firstColumn="0" w:lastColumn="0" w:noHBand="0" w:noVBand="0"/>
      </w:tblPr>
      <w:tblGrid>
        <w:gridCol w:w="10314"/>
      </w:tblGrid>
      <w:tr w:rsidR="00E8351D">
        <w:tc>
          <w:tcPr>
            <w:tcW w:w="10314" w:type="dxa"/>
            <w:shd w:val="clear" w:color="auto" w:fill="D9D9D9"/>
          </w:tcPr>
          <w:p w:rsidR="00E8351D" w:rsidRDefault="00E8351D">
            <w:pPr>
              <w:pageBreakBefore/>
              <w:widowControl w:val="0"/>
              <w:spacing w:after="0" w:line="240" w:lineRule="auto"/>
              <w:ind w:left="10" w:hanging="5"/>
              <w:rPr>
                <w:rFonts w:ascii="Arial" w:hAnsi="Arial" w:cs="Arial"/>
                <w:color w:val="000080"/>
                <w:sz w:val="24"/>
                <w:szCs w:val="24"/>
              </w:rPr>
            </w:pPr>
          </w:p>
          <w:p w:rsidR="00E8351D" w:rsidRDefault="00872F84">
            <w:pPr>
              <w:widowControl w:val="0"/>
              <w:spacing w:after="0" w:line="240" w:lineRule="auto"/>
              <w:ind w:left="175" w:hanging="170"/>
              <w:rPr>
                <w:rFonts w:ascii="Arial" w:hAnsi="Arial" w:cs="Arial"/>
                <w:b/>
                <w:bCs/>
                <w:color w:val="000080"/>
                <w:sz w:val="24"/>
                <w:szCs w:val="24"/>
              </w:rPr>
            </w:pPr>
            <w:r>
              <w:rPr>
                <w:rFonts w:ascii="Arial" w:hAnsi="Arial" w:cs="Arial"/>
                <w:b/>
                <w:bCs/>
                <w:color w:val="000080"/>
                <w:sz w:val="24"/>
                <w:szCs w:val="24"/>
              </w:rPr>
              <w:t>3 ANALISI DELL'APPLICAZIONE DELL'AVANZO/DISAVANZO D'AMMINISTRAZIONE PRESUNTO</w:t>
            </w:r>
          </w:p>
          <w:p w:rsidR="00E8351D" w:rsidRDefault="00E8351D">
            <w:pPr>
              <w:widowControl w:val="0"/>
              <w:spacing w:after="0" w:line="240" w:lineRule="auto"/>
              <w:ind w:left="10" w:hanging="5"/>
              <w:rPr>
                <w:rFonts w:ascii="Arial" w:hAnsi="Arial" w:cs="Arial"/>
                <w:color w:val="000080"/>
                <w:sz w:val="24"/>
                <w:szCs w:val="24"/>
              </w:rPr>
            </w:pPr>
          </w:p>
        </w:tc>
      </w:tr>
    </w:tbl>
    <w:p w:rsidR="00E8351D" w:rsidRDefault="00E8351D">
      <w:pPr>
        <w:widowControl w:val="0"/>
        <w:spacing w:after="0" w:line="240" w:lineRule="auto"/>
        <w:ind w:left="1133" w:right="226"/>
        <w:jc w:val="both"/>
        <w:rPr>
          <w:rFonts w:ascii="Arial" w:hAnsi="Arial" w:cs="Arial"/>
          <w:b/>
          <w:bCs/>
          <w:shd w:val="clear" w:color="auto" w:fill="FFFF00"/>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shd w:val="clear" w:color="auto" w:fill="FFFF00"/>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shd w:val="clear" w:color="auto" w:fill="FFFF00"/>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shd w:val="clear" w:color="auto" w:fill="FFFF00"/>
        </w:rPr>
      </w:pPr>
    </w:p>
    <w:p w:rsidR="00E8351D" w:rsidRDefault="00872F84">
      <w:pPr>
        <w:jc w:val="both"/>
      </w:pPr>
      <w:r>
        <w:t xml:space="preserve">Conclusa l'analisi delle varie voci componenti le entrate e le spese, si ritiene interessante </w:t>
      </w:r>
      <w:r>
        <w:t>dedicare attenzione al risultato d'amministrazione che si prevede possa derivare dal rendiconto dell'esercizio 2016 e che, nel rispetto delle disposizioni normative di seguito riportate, può essere, già in questa fase, applicato al bilancio 2017. Si nota c</w:t>
      </w:r>
      <w:r>
        <w:t>ome esso, nella sua valorizzazione positiva (avanzo) e negativa (disavanzo), abbia partecipato alla determinazione dei risultati parziali così come, allo stesso modo, costituisce un addendo essenziale nella determinazione del valore complessivo di ciascuna</w:t>
      </w:r>
      <w:r>
        <w:t xml:space="preserve"> delle due parti del bilancio.</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shd w:val="clear" w:color="auto" w:fill="FFFF00"/>
        </w:rPr>
      </w:pPr>
    </w:p>
    <w:p w:rsidR="00E8351D" w:rsidRDefault="00E8351D">
      <w:pPr>
        <w:widowControl w:val="0"/>
        <w:spacing w:after="0" w:line="240" w:lineRule="auto"/>
        <w:ind w:left="1133" w:right="226"/>
        <w:jc w:val="both"/>
        <w:rPr>
          <w:rFonts w:ascii="Arial" w:hAnsi="Arial" w:cs="Arial"/>
          <w:b/>
          <w:bCs/>
          <w:shd w:val="clear" w:color="auto" w:fill="FFFF00"/>
        </w:rPr>
      </w:pPr>
    </w:p>
    <w:p w:rsidR="00E8351D" w:rsidRDefault="00E8351D">
      <w:pPr>
        <w:widowControl w:val="0"/>
        <w:spacing w:after="0" w:line="240" w:lineRule="auto"/>
        <w:ind w:left="1133" w:right="226"/>
        <w:jc w:val="both"/>
        <w:rPr>
          <w:rFonts w:ascii="Arial" w:hAnsi="Arial" w:cs="Arial"/>
        </w:rPr>
      </w:pPr>
    </w:p>
    <w:tbl>
      <w:tblPr>
        <w:tblW w:w="9140" w:type="dxa"/>
        <w:tblInd w:w="1134" w:type="dxa"/>
        <w:tblBorders>
          <w:top w:val="single" w:sz="6" w:space="0" w:color="00000A"/>
          <w:left w:val="single" w:sz="6" w:space="0" w:color="00000A"/>
          <w:bottom w:val="single" w:sz="6" w:space="0" w:color="00000A"/>
          <w:insideH w:val="single" w:sz="6" w:space="0" w:color="00000A"/>
        </w:tblBorders>
        <w:tblCellMar>
          <w:top w:w="28" w:type="dxa"/>
          <w:left w:w="27" w:type="dxa"/>
          <w:bottom w:w="28" w:type="dxa"/>
          <w:right w:w="28" w:type="dxa"/>
        </w:tblCellMar>
        <w:tblLook w:val="0000" w:firstRow="0" w:lastRow="0" w:firstColumn="0" w:lastColumn="0" w:noHBand="0" w:noVBand="0"/>
      </w:tblPr>
      <w:tblGrid>
        <w:gridCol w:w="7417"/>
        <w:gridCol w:w="1723"/>
      </w:tblGrid>
      <w:tr w:rsidR="00E8351D">
        <w:tc>
          <w:tcPr>
            <w:tcW w:w="7416" w:type="dxa"/>
            <w:tcBorders>
              <w:top w:val="single" w:sz="6" w:space="0" w:color="00000A"/>
              <w:left w:val="single" w:sz="6" w:space="0" w:color="00000A"/>
              <w:bottom w:val="single" w:sz="6" w:space="0" w:color="00000A"/>
            </w:tcBorders>
            <w:shd w:val="clear" w:color="auto" w:fill="F2F2F2"/>
            <w:tcMar>
              <w:left w:w="27"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color w:val="000080"/>
                <w:sz w:val="18"/>
                <w:szCs w:val="18"/>
              </w:rPr>
            </w:pPr>
            <w:r>
              <w:rPr>
                <w:rFonts w:ascii="Arial" w:hAnsi="Arial" w:cs="Arial"/>
                <w:b/>
                <w:bCs/>
                <w:color w:val="000080"/>
                <w:sz w:val="18"/>
                <w:szCs w:val="18"/>
              </w:rPr>
              <w:t>Composizione del risultato di amministrazione al 31/12/2016</w:t>
            </w:r>
          </w:p>
        </w:tc>
        <w:tc>
          <w:tcPr>
            <w:tcW w:w="1723" w:type="dxa"/>
            <w:tcBorders>
              <w:top w:val="single" w:sz="6" w:space="0" w:color="00000A"/>
              <w:left w:val="single" w:sz="6" w:space="0" w:color="00000A"/>
              <w:bottom w:val="single" w:sz="6" w:space="0" w:color="00000A"/>
              <w:right w:val="single" w:sz="6" w:space="0" w:color="00000A"/>
            </w:tcBorders>
            <w:shd w:val="clear" w:color="auto" w:fill="F2F2F2"/>
            <w:tcMar>
              <w:left w:w="20" w:type="dxa"/>
              <w:right w:w="43" w:type="dxa"/>
            </w:tcMar>
            <w:vAlign w:val="center"/>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Arial" w:hAnsi="Arial" w:cs="Arial"/>
                <w:color w:val="000080"/>
                <w:sz w:val="18"/>
                <w:szCs w:val="18"/>
              </w:rPr>
            </w:pP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bCs/>
                <w:sz w:val="8"/>
                <w:szCs w:val="8"/>
              </w:rPr>
            </w:pPr>
            <w:r>
              <w:rPr>
                <w:rFonts w:ascii="Arial" w:hAnsi="Arial" w:cs="Arial"/>
                <w:b/>
                <w:bCs/>
                <w:sz w:val="8"/>
                <w:szCs w:val="8"/>
              </w:rPr>
              <w:t> </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5" w:type="dxa"/>
              <w:right w:w="10"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color w:val="000000"/>
                <w:sz w:val="8"/>
                <w:szCs w:val="8"/>
              </w:rPr>
            </w:pPr>
            <w:r>
              <w:rPr>
                <w:rFonts w:ascii="Arial" w:hAnsi="Arial" w:cs="Arial"/>
                <w:color w:val="000000"/>
                <w:sz w:val="8"/>
                <w:szCs w:val="8"/>
              </w:rPr>
              <w:t> </w:t>
            </w:r>
          </w:p>
        </w:tc>
      </w:tr>
      <w:tr w:rsidR="00E8351D">
        <w:tc>
          <w:tcPr>
            <w:tcW w:w="7416" w:type="dxa"/>
            <w:tcBorders>
              <w:top w:val="single" w:sz="6" w:space="0" w:color="00000A"/>
              <w:left w:val="single" w:sz="6" w:space="0" w:color="00000A"/>
              <w:bottom w:val="single" w:sz="6" w:space="0" w:color="00000A"/>
            </w:tcBorders>
            <w:shd w:val="clear" w:color="auto" w:fill="F2F2F2"/>
            <w:tcMar>
              <w:left w:w="27"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b/>
                <w:bCs/>
                <w:color w:val="000080"/>
                <w:sz w:val="18"/>
                <w:szCs w:val="18"/>
              </w:rPr>
            </w:pPr>
            <w:r>
              <w:rPr>
                <w:rFonts w:ascii="Arial" w:hAnsi="Arial" w:cs="Arial"/>
                <w:b/>
                <w:bCs/>
                <w:color w:val="000080"/>
                <w:sz w:val="18"/>
                <w:szCs w:val="18"/>
              </w:rPr>
              <w:t>A) Risultato  di amministrazione al 31/12/2016</w:t>
            </w:r>
          </w:p>
        </w:tc>
        <w:tc>
          <w:tcPr>
            <w:tcW w:w="1723" w:type="dxa"/>
            <w:tcBorders>
              <w:top w:val="single" w:sz="6" w:space="0" w:color="00000A"/>
              <w:left w:val="single" w:sz="6" w:space="0" w:color="00000A"/>
              <w:bottom w:val="single" w:sz="6" w:space="0" w:color="00000A"/>
              <w:right w:val="single" w:sz="6" w:space="0" w:color="00000A"/>
            </w:tcBorders>
            <w:shd w:val="clear" w:color="auto" w:fill="F2F2F2"/>
            <w:tcMar>
              <w:left w:w="20" w:type="dxa"/>
              <w:right w:w="43"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b/>
                <w:bCs/>
                <w:color w:val="000080"/>
                <w:sz w:val="18"/>
                <w:szCs w:val="18"/>
              </w:rPr>
              <w:t>20.147.743,87</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bCs/>
                <w:sz w:val="8"/>
                <w:szCs w:val="8"/>
              </w:rPr>
            </w:pP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5" w:type="dxa"/>
              <w:right w:w="10" w:type="dxa"/>
            </w:tcMar>
            <w:vAlign w:val="bottom"/>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color w:val="000000"/>
                <w:sz w:val="8"/>
                <w:szCs w:val="8"/>
              </w:rPr>
            </w:pP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b/>
                <w:bCs/>
                <w:sz w:val="18"/>
                <w:szCs w:val="18"/>
              </w:rPr>
            </w:pPr>
            <w:r>
              <w:rPr>
                <w:rFonts w:ascii="Arial" w:hAnsi="Arial" w:cs="Arial"/>
                <w:b/>
                <w:bCs/>
                <w:sz w:val="18"/>
                <w:szCs w:val="18"/>
              </w:rPr>
              <w:t>Parte Accantonata</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b/>
                <w:bCs/>
                <w:sz w:val="18"/>
                <w:szCs w:val="18"/>
              </w:rPr>
            </w:pP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sz w:val="18"/>
                <w:szCs w:val="18"/>
              </w:rPr>
            </w:pPr>
            <w:r>
              <w:rPr>
                <w:rFonts w:ascii="Arial" w:hAnsi="Arial" w:cs="Arial"/>
                <w:sz w:val="18"/>
                <w:szCs w:val="18"/>
              </w:rPr>
              <w:t>Fondo crediti di dubbia esigibilità 31/12/2016</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sz w:val="18"/>
                <w:szCs w:val="18"/>
              </w:rPr>
              <w:t>53.323.753,38</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sz w:val="18"/>
                <w:szCs w:val="18"/>
              </w:rPr>
            </w:pPr>
            <w:r>
              <w:rPr>
                <w:rFonts w:ascii="Arial" w:hAnsi="Arial" w:cs="Arial"/>
                <w:sz w:val="18"/>
                <w:szCs w:val="18"/>
              </w:rPr>
              <w:t xml:space="preserve">Fondo </w:t>
            </w:r>
            <w:r>
              <w:rPr>
                <w:rFonts w:ascii="Arial" w:hAnsi="Arial" w:cs="Arial"/>
                <w:sz w:val="18"/>
                <w:szCs w:val="18"/>
              </w:rPr>
              <w:t>rischi spese legali 31/12/2016</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sz w:val="18"/>
                <w:szCs w:val="18"/>
              </w:rPr>
              <w:t>1.660.000,00</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sz w:val="18"/>
                <w:szCs w:val="18"/>
              </w:rPr>
            </w:pPr>
            <w:r>
              <w:rPr>
                <w:rFonts w:ascii="Arial" w:hAnsi="Arial" w:cs="Arial"/>
                <w:sz w:val="18"/>
                <w:szCs w:val="18"/>
              </w:rPr>
              <w:t>Fondo rischi perdite società partecipate 31/12/2016</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sz w:val="18"/>
                <w:szCs w:val="18"/>
              </w:rPr>
              <w:t>,00</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sz w:val="18"/>
                <w:szCs w:val="18"/>
              </w:rPr>
            </w:pPr>
            <w:r>
              <w:rPr>
                <w:rFonts w:ascii="Arial" w:hAnsi="Arial" w:cs="Arial"/>
                <w:sz w:val="18"/>
                <w:szCs w:val="18"/>
              </w:rPr>
              <w:t>Fondo spese indennità fine mandato 31/12/2016</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sz w:val="18"/>
                <w:szCs w:val="18"/>
              </w:rPr>
              <w:t>,00</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sz w:val="18"/>
                <w:szCs w:val="18"/>
              </w:rPr>
            </w:pPr>
            <w:r>
              <w:rPr>
                <w:rFonts w:ascii="Arial" w:hAnsi="Arial" w:cs="Arial"/>
                <w:sz w:val="18"/>
                <w:szCs w:val="18"/>
              </w:rPr>
              <w:t>Fondo ... al 31/12</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sz w:val="18"/>
                <w:szCs w:val="18"/>
              </w:rPr>
              <w:t>100.367,36</w:t>
            </w:r>
          </w:p>
        </w:tc>
      </w:tr>
      <w:tr w:rsidR="00E8351D">
        <w:tc>
          <w:tcPr>
            <w:tcW w:w="7416" w:type="dxa"/>
            <w:tcBorders>
              <w:top w:val="single" w:sz="6" w:space="0" w:color="00000A"/>
              <w:left w:val="single" w:sz="4" w:space="0" w:color="00000A"/>
              <w:bottom w:val="single" w:sz="6" w:space="0" w:color="00000A"/>
            </w:tcBorders>
            <w:shd w:val="clear" w:color="auto" w:fill="F2F2F2"/>
            <w:tcMar>
              <w:left w:w="33"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b/>
                <w:bCs/>
                <w:color w:val="000080"/>
                <w:sz w:val="18"/>
                <w:szCs w:val="18"/>
              </w:rPr>
            </w:pPr>
            <w:r>
              <w:rPr>
                <w:rFonts w:ascii="Arial" w:hAnsi="Arial" w:cs="Arial"/>
                <w:b/>
                <w:bCs/>
                <w:color w:val="000080"/>
                <w:sz w:val="18"/>
                <w:szCs w:val="18"/>
              </w:rPr>
              <w:t>B) Totale parte accantonata</w:t>
            </w:r>
          </w:p>
        </w:tc>
        <w:tc>
          <w:tcPr>
            <w:tcW w:w="1723" w:type="dxa"/>
            <w:tcBorders>
              <w:top w:val="single" w:sz="6" w:space="0" w:color="00000A"/>
              <w:left w:val="single" w:sz="4" w:space="0" w:color="00000A"/>
              <w:bottom w:val="single" w:sz="6" w:space="0" w:color="00000A"/>
              <w:right w:val="single" w:sz="4" w:space="0" w:color="00000A"/>
            </w:tcBorders>
            <w:shd w:val="clear" w:color="auto" w:fill="F2F2F2"/>
            <w:tcMar>
              <w:left w:w="23" w:type="dxa"/>
              <w:right w:w="3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b/>
                <w:bCs/>
                <w:color w:val="000080"/>
                <w:sz w:val="18"/>
                <w:szCs w:val="18"/>
              </w:rPr>
              <w:t>55.084.120,74</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color w:val="000000"/>
                <w:sz w:val="8"/>
                <w:szCs w:val="8"/>
              </w:rPr>
            </w:pP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5" w:type="dxa"/>
              <w:right w:w="10" w:type="dxa"/>
            </w:tcMar>
            <w:vAlign w:val="bottom"/>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sz w:val="8"/>
                <w:szCs w:val="8"/>
              </w:rPr>
            </w:pP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color w:val="000000"/>
                <w:sz w:val="18"/>
                <w:szCs w:val="18"/>
              </w:rPr>
            </w:pPr>
            <w:r>
              <w:rPr>
                <w:rFonts w:ascii="Arial" w:hAnsi="Arial" w:cs="Arial"/>
                <w:b/>
                <w:bCs/>
                <w:color w:val="000000"/>
                <w:sz w:val="18"/>
                <w:szCs w:val="18"/>
              </w:rPr>
              <w:t>Parte Vincolata</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sz w:val="18"/>
                <w:szCs w:val="18"/>
              </w:rPr>
            </w:pP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color w:val="000000"/>
                <w:sz w:val="18"/>
                <w:szCs w:val="18"/>
              </w:rPr>
            </w:pPr>
            <w:r>
              <w:rPr>
                <w:rFonts w:ascii="Arial" w:hAnsi="Arial" w:cs="Arial"/>
                <w:color w:val="000000"/>
                <w:sz w:val="18"/>
                <w:szCs w:val="18"/>
              </w:rPr>
              <w:t xml:space="preserve">Vincoli </w:t>
            </w:r>
            <w:r>
              <w:rPr>
                <w:rFonts w:ascii="Arial" w:hAnsi="Arial" w:cs="Arial"/>
                <w:color w:val="000000"/>
                <w:sz w:val="18"/>
                <w:szCs w:val="18"/>
              </w:rPr>
              <w:t>derivanti da leggi e dai principi contabili</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jc w:val="right"/>
            </w:pPr>
            <w:r>
              <w:rPr>
                <w:rFonts w:ascii="Arial" w:hAnsi="Arial" w:cs="Arial"/>
                <w:sz w:val="18"/>
                <w:szCs w:val="18"/>
              </w:rPr>
              <w:t>1.973.856,34</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color w:val="000000"/>
                <w:sz w:val="18"/>
                <w:szCs w:val="18"/>
              </w:rPr>
            </w:pPr>
            <w:r>
              <w:rPr>
                <w:rFonts w:ascii="Arial" w:hAnsi="Arial" w:cs="Arial"/>
                <w:color w:val="000000"/>
                <w:sz w:val="18"/>
                <w:szCs w:val="18"/>
              </w:rPr>
              <w:t>Vincoli derivanti da trasferimenti</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jc w:val="right"/>
            </w:pPr>
            <w:r>
              <w:rPr>
                <w:rFonts w:ascii="Arial" w:hAnsi="Arial" w:cs="Arial"/>
                <w:sz w:val="18"/>
                <w:szCs w:val="18"/>
              </w:rPr>
              <w:t>2.850.340,73</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color w:val="000000"/>
                <w:sz w:val="18"/>
                <w:szCs w:val="18"/>
              </w:rPr>
            </w:pPr>
            <w:r>
              <w:rPr>
                <w:rFonts w:ascii="Arial" w:hAnsi="Arial" w:cs="Arial"/>
                <w:color w:val="000000"/>
                <w:sz w:val="18"/>
                <w:szCs w:val="18"/>
              </w:rPr>
              <w:t>Vincoli derivanti dalla contrazione di mutui</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jc w:val="right"/>
            </w:pPr>
            <w:r>
              <w:rPr>
                <w:rFonts w:ascii="Arial" w:hAnsi="Arial" w:cs="Arial"/>
                <w:sz w:val="18"/>
                <w:szCs w:val="18"/>
              </w:rPr>
              <w:t>5.488.963,82</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color w:val="000000"/>
                <w:sz w:val="18"/>
                <w:szCs w:val="18"/>
              </w:rPr>
            </w:pPr>
            <w:r>
              <w:rPr>
                <w:rFonts w:ascii="Arial" w:hAnsi="Arial" w:cs="Arial"/>
                <w:color w:val="000000"/>
                <w:sz w:val="18"/>
                <w:szCs w:val="18"/>
              </w:rPr>
              <w:t>Vincoli formalmente attribuiti dall'ente</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jc w:val="right"/>
            </w:pPr>
            <w:r>
              <w:rPr>
                <w:rFonts w:ascii="Arial" w:hAnsi="Arial" w:cs="Arial"/>
                <w:sz w:val="18"/>
                <w:szCs w:val="18"/>
              </w:rPr>
              <w:t>,00</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rPr>
                <w:rFonts w:ascii="Arial" w:hAnsi="Arial" w:cs="Arial"/>
                <w:color w:val="000000"/>
                <w:sz w:val="18"/>
                <w:szCs w:val="18"/>
              </w:rPr>
            </w:pPr>
            <w:r>
              <w:rPr>
                <w:rFonts w:ascii="Arial" w:hAnsi="Arial" w:cs="Arial"/>
                <w:color w:val="000000"/>
                <w:sz w:val="18"/>
                <w:szCs w:val="18"/>
              </w:rPr>
              <w:t>Altri vincoli da specificare</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528"/>
              <w:jc w:val="right"/>
            </w:pPr>
            <w:r>
              <w:rPr>
                <w:rFonts w:ascii="Arial" w:hAnsi="Arial" w:cs="Arial"/>
                <w:sz w:val="18"/>
                <w:szCs w:val="18"/>
              </w:rPr>
              <w:t>,00</w:t>
            </w:r>
          </w:p>
        </w:tc>
      </w:tr>
      <w:tr w:rsidR="00E8351D">
        <w:tc>
          <w:tcPr>
            <w:tcW w:w="7416" w:type="dxa"/>
            <w:tcBorders>
              <w:top w:val="single" w:sz="6" w:space="0" w:color="00000A"/>
              <w:left w:val="single" w:sz="4" w:space="0" w:color="00000A"/>
              <w:bottom w:val="single" w:sz="6" w:space="0" w:color="00000A"/>
            </w:tcBorders>
            <w:shd w:val="clear" w:color="auto" w:fill="F2F2F2"/>
            <w:tcMar>
              <w:left w:w="33"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b/>
                <w:bCs/>
                <w:color w:val="000080"/>
                <w:sz w:val="18"/>
                <w:szCs w:val="18"/>
              </w:rPr>
            </w:pPr>
            <w:r>
              <w:rPr>
                <w:rFonts w:ascii="Arial" w:hAnsi="Arial" w:cs="Arial"/>
                <w:b/>
                <w:bCs/>
                <w:color w:val="000080"/>
                <w:sz w:val="18"/>
                <w:szCs w:val="18"/>
              </w:rPr>
              <w:t xml:space="preserve">C) Totale </w:t>
            </w:r>
            <w:r>
              <w:rPr>
                <w:rFonts w:ascii="Arial" w:hAnsi="Arial" w:cs="Arial"/>
                <w:b/>
                <w:bCs/>
                <w:color w:val="000080"/>
                <w:sz w:val="18"/>
                <w:szCs w:val="18"/>
              </w:rPr>
              <w:t>parte vincolata</w:t>
            </w:r>
          </w:p>
        </w:tc>
        <w:tc>
          <w:tcPr>
            <w:tcW w:w="1723" w:type="dxa"/>
            <w:tcBorders>
              <w:top w:val="single" w:sz="6" w:space="0" w:color="00000A"/>
              <w:left w:val="single" w:sz="4" w:space="0" w:color="00000A"/>
              <w:bottom w:val="single" w:sz="6" w:space="0" w:color="00000A"/>
              <w:right w:val="single" w:sz="4" w:space="0" w:color="00000A"/>
            </w:tcBorders>
            <w:shd w:val="clear" w:color="auto" w:fill="F2F2F2"/>
            <w:tcMar>
              <w:left w:w="23" w:type="dxa"/>
              <w:right w:w="3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b/>
                <w:bCs/>
                <w:color w:val="000080"/>
                <w:sz w:val="18"/>
                <w:szCs w:val="18"/>
              </w:rPr>
              <w:t>10.313.160,89</w:t>
            </w: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8"/>
                <w:szCs w:val="8"/>
              </w:rPr>
            </w:pP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5" w:type="dxa"/>
              <w:right w:w="10" w:type="dxa"/>
            </w:tcMar>
            <w:vAlign w:val="bottom"/>
          </w:tcPr>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sz w:val="8"/>
                <w:szCs w:val="8"/>
              </w:rPr>
            </w:pPr>
          </w:p>
        </w:tc>
      </w:tr>
      <w:tr w:rsidR="00E8351D">
        <w:tc>
          <w:tcPr>
            <w:tcW w:w="7416" w:type="dxa"/>
            <w:tcBorders>
              <w:top w:val="single" w:sz="6" w:space="0" w:color="00000A"/>
              <w:left w:val="single" w:sz="4" w:space="0" w:color="00000A"/>
              <w:bottom w:val="single" w:sz="6" w:space="0" w:color="00000A"/>
            </w:tcBorders>
            <w:shd w:val="clear" w:color="auto" w:fill="auto"/>
            <w:tcMar>
              <w:left w:w="33"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18"/>
                <w:szCs w:val="18"/>
              </w:rPr>
            </w:pPr>
            <w:r>
              <w:rPr>
                <w:rFonts w:ascii="Arial" w:hAnsi="Arial" w:cs="Arial"/>
                <w:b/>
                <w:bCs/>
                <w:sz w:val="18"/>
                <w:szCs w:val="18"/>
              </w:rPr>
              <w:t>Parte destinata agli investimenti</w:t>
            </w:r>
          </w:p>
        </w:tc>
        <w:tc>
          <w:tcPr>
            <w:tcW w:w="1723" w:type="dxa"/>
            <w:tcBorders>
              <w:top w:val="single" w:sz="6" w:space="0" w:color="00000A"/>
              <w:left w:val="single" w:sz="4" w:space="0" w:color="00000A"/>
              <w:bottom w:val="single" w:sz="6" w:space="0" w:color="00000A"/>
              <w:right w:val="single" w:sz="4" w:space="0" w:color="00000A"/>
            </w:tcBorders>
            <w:shd w:val="clear" w:color="auto" w:fill="auto"/>
            <w:tcMar>
              <w:left w:w="23" w:type="dxa"/>
              <w:right w:w="38" w:type="dxa"/>
            </w:tcMar>
            <w:vAlign w:val="bottom"/>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sz w:val="18"/>
                <w:szCs w:val="18"/>
              </w:rPr>
              <w:t>457.779,25</w:t>
            </w:r>
          </w:p>
        </w:tc>
      </w:tr>
      <w:tr w:rsidR="00E8351D">
        <w:tc>
          <w:tcPr>
            <w:tcW w:w="7416" w:type="dxa"/>
            <w:tcBorders>
              <w:top w:val="single" w:sz="6" w:space="0" w:color="00000A"/>
              <w:left w:val="single" w:sz="4" w:space="0" w:color="00000A"/>
              <w:bottom w:val="single" w:sz="6" w:space="0" w:color="00000A"/>
            </w:tcBorders>
            <w:shd w:val="clear" w:color="auto" w:fill="F2F2F2"/>
            <w:tcMar>
              <w:left w:w="33"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b/>
                <w:bCs/>
                <w:color w:val="000080"/>
                <w:sz w:val="18"/>
                <w:szCs w:val="18"/>
              </w:rPr>
            </w:pPr>
            <w:r>
              <w:rPr>
                <w:rFonts w:ascii="Arial" w:hAnsi="Arial" w:cs="Arial"/>
                <w:b/>
                <w:bCs/>
                <w:color w:val="000080"/>
                <w:sz w:val="18"/>
                <w:szCs w:val="18"/>
              </w:rPr>
              <w:t>D) Totale destinato agli investimenti</w:t>
            </w:r>
          </w:p>
        </w:tc>
        <w:tc>
          <w:tcPr>
            <w:tcW w:w="1723" w:type="dxa"/>
            <w:tcBorders>
              <w:top w:val="single" w:sz="6" w:space="0" w:color="00000A"/>
              <w:left w:val="single" w:sz="4" w:space="0" w:color="00000A"/>
              <w:bottom w:val="single" w:sz="6" w:space="0" w:color="00000A"/>
              <w:right w:val="single" w:sz="4" w:space="0" w:color="00000A"/>
            </w:tcBorders>
            <w:shd w:val="clear" w:color="auto" w:fill="F2F2F2"/>
            <w:tcMar>
              <w:left w:w="23" w:type="dxa"/>
              <w:right w:w="3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b/>
                <w:bCs/>
                <w:color w:val="000080"/>
                <w:sz w:val="18"/>
                <w:szCs w:val="18"/>
              </w:rPr>
              <w:t>457.779,25</w:t>
            </w:r>
          </w:p>
        </w:tc>
      </w:tr>
      <w:tr w:rsidR="00E8351D">
        <w:tc>
          <w:tcPr>
            <w:tcW w:w="7416" w:type="dxa"/>
            <w:tcBorders>
              <w:top w:val="single" w:sz="6" w:space="0" w:color="00000A"/>
              <w:left w:val="single" w:sz="4" w:space="0" w:color="00000A"/>
              <w:bottom w:val="single" w:sz="6" w:space="0" w:color="00000A"/>
            </w:tcBorders>
            <w:shd w:val="clear" w:color="auto" w:fill="F2F2F2"/>
            <w:tcMar>
              <w:left w:w="33"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b/>
                <w:bCs/>
                <w:color w:val="000080"/>
                <w:sz w:val="18"/>
                <w:szCs w:val="18"/>
              </w:rPr>
            </w:pPr>
            <w:r>
              <w:rPr>
                <w:rFonts w:ascii="Arial" w:hAnsi="Arial" w:cs="Arial"/>
                <w:b/>
                <w:bCs/>
                <w:color w:val="000080"/>
                <w:sz w:val="18"/>
                <w:szCs w:val="18"/>
              </w:rPr>
              <w:t>E) Totale parte disponibile (E=A-B-C-D)</w:t>
            </w:r>
          </w:p>
        </w:tc>
        <w:tc>
          <w:tcPr>
            <w:tcW w:w="1723" w:type="dxa"/>
            <w:tcBorders>
              <w:top w:val="single" w:sz="6" w:space="0" w:color="00000A"/>
              <w:left w:val="single" w:sz="4" w:space="0" w:color="00000A"/>
              <w:bottom w:val="single" w:sz="6" w:space="0" w:color="00000A"/>
              <w:right w:val="single" w:sz="4" w:space="0" w:color="00000A"/>
            </w:tcBorders>
            <w:shd w:val="clear" w:color="auto" w:fill="F2F2F2"/>
            <w:tcMar>
              <w:left w:w="23" w:type="dxa"/>
              <w:right w:w="3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Arial" w:hAnsi="Arial" w:cs="Arial"/>
                <w:b/>
                <w:bCs/>
                <w:color w:val="000080"/>
                <w:sz w:val="18"/>
                <w:szCs w:val="18"/>
              </w:rPr>
              <w:t>-45.707.317,01</w:t>
            </w:r>
          </w:p>
        </w:tc>
      </w:tr>
    </w:tbl>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left="1133" w:right="226"/>
        <w:jc w:val="both"/>
        <w:rPr>
          <w:rFonts w:ascii="Arial" w:hAnsi="Arial" w:cs="Arial"/>
          <w:b/>
          <w:bCs/>
        </w:rPr>
      </w:pPr>
    </w:p>
    <w:p w:rsidR="00E8351D" w:rsidRDefault="00E8351D">
      <w:pPr>
        <w:widowControl w:val="0"/>
        <w:spacing w:after="0" w:line="240" w:lineRule="auto"/>
        <w:ind w:left="1133" w:right="226"/>
        <w:jc w:val="both"/>
        <w:rPr>
          <w:rFonts w:ascii="Arial" w:hAnsi="Arial" w:cs="Arial"/>
          <w:b/>
          <w:bCs/>
        </w:rPr>
      </w:pPr>
    </w:p>
    <w:p w:rsidR="00E8351D" w:rsidRDefault="00E8351D">
      <w:pPr>
        <w:widowControl w:val="0"/>
        <w:spacing w:after="0" w:line="240" w:lineRule="auto"/>
        <w:ind w:right="226"/>
        <w:jc w:val="both"/>
        <w:rPr>
          <w:rFonts w:ascii="Arial" w:hAnsi="Arial" w:cs="Arial"/>
          <w:b/>
          <w:bCs/>
        </w:rPr>
      </w:pP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Times New Roman" w:hAnsi="Times New Roman" w:cs="Times New Roman"/>
        </w:rPr>
      </w:pPr>
      <w:r>
        <w:rPr>
          <w:rFonts w:ascii="Times New Roman" w:hAnsi="Times New Roman" w:cs="Times New Roman"/>
        </w:rPr>
        <w:tab/>
      </w:r>
    </w:p>
    <w:p w:rsidR="00E8351D" w:rsidRDefault="00E8351D">
      <w:pPr>
        <w:widowControl w:val="0"/>
        <w:spacing w:after="0" w:line="240" w:lineRule="auto"/>
        <w:ind w:left="1133" w:right="226"/>
        <w:jc w:val="both"/>
        <w:rPr>
          <w:rFonts w:ascii="Arial" w:hAnsi="Arial" w:cs="Arial"/>
        </w:rPr>
      </w:pPr>
    </w:p>
    <w:p w:rsidR="00E8351D" w:rsidRDefault="00E8351D">
      <w:pPr>
        <w:widowControl w:val="0"/>
        <w:spacing w:after="0" w:line="240" w:lineRule="auto"/>
        <w:ind w:right="226"/>
        <w:jc w:val="both"/>
        <w:rPr>
          <w:rFonts w:ascii="Arial" w:hAnsi="Arial" w:cs="Arial"/>
          <w:b/>
          <w:bCs/>
          <w:color w:val="000080"/>
          <w:sz w:val="24"/>
          <w:szCs w:val="24"/>
        </w:rPr>
      </w:pPr>
    </w:p>
    <w:p w:rsidR="00E8351D" w:rsidRDefault="00E8351D">
      <w:pPr>
        <w:widowControl w:val="0"/>
        <w:spacing w:after="0" w:line="240" w:lineRule="auto"/>
        <w:ind w:right="226"/>
        <w:rPr>
          <w:rFonts w:ascii="Arial" w:hAnsi="Arial" w:cs="Arial"/>
          <w:sz w:val="24"/>
          <w:szCs w:val="24"/>
        </w:rPr>
      </w:pPr>
    </w:p>
    <w:p w:rsidR="00E8351D" w:rsidRDefault="00E8351D">
      <w:pPr>
        <w:widowControl w:val="0"/>
        <w:spacing w:after="0" w:line="240" w:lineRule="auto"/>
        <w:ind w:right="226"/>
        <w:rPr>
          <w:rFonts w:ascii="Arial" w:hAnsi="Arial" w:cs="Arial"/>
          <w:sz w:val="24"/>
          <w:szCs w:val="24"/>
        </w:rPr>
      </w:pPr>
    </w:p>
    <w:p w:rsidR="00E8351D" w:rsidRDefault="00E8351D">
      <w:pPr>
        <w:widowControl w:val="0"/>
        <w:spacing w:after="0" w:line="240" w:lineRule="auto"/>
        <w:ind w:right="226"/>
        <w:rPr>
          <w:rFonts w:ascii="Arial" w:hAnsi="Arial" w:cs="Arial"/>
          <w:sz w:val="24"/>
          <w:szCs w:val="24"/>
        </w:rPr>
      </w:pPr>
    </w:p>
    <w:p w:rsidR="00E8351D" w:rsidRDefault="00E8351D">
      <w:pPr>
        <w:widowControl w:val="0"/>
        <w:spacing w:after="0" w:line="240" w:lineRule="auto"/>
        <w:ind w:right="226"/>
        <w:rPr>
          <w:rFonts w:ascii="Arial" w:hAnsi="Arial" w:cs="Arial"/>
          <w:sz w:val="24"/>
          <w:szCs w:val="24"/>
        </w:rPr>
      </w:pPr>
    </w:p>
    <w:p w:rsidR="00E8351D" w:rsidRDefault="00E8351D">
      <w:pPr>
        <w:widowControl w:val="0"/>
        <w:spacing w:after="0" w:line="240" w:lineRule="auto"/>
        <w:ind w:right="226"/>
        <w:rPr>
          <w:rFonts w:ascii="Arial" w:hAnsi="Arial" w:cs="Arial"/>
          <w:sz w:val="24"/>
          <w:szCs w:val="24"/>
        </w:rPr>
      </w:pPr>
    </w:p>
    <w:p w:rsidR="00E8351D" w:rsidRDefault="00E8351D">
      <w:pPr>
        <w:widowControl w:val="0"/>
        <w:spacing w:after="0" w:line="240" w:lineRule="auto"/>
        <w:ind w:right="226"/>
        <w:jc w:val="both"/>
        <w:rPr>
          <w:rFonts w:ascii="Arial" w:hAnsi="Arial" w:cs="Arial"/>
          <w:sz w:val="24"/>
          <w:szCs w:val="24"/>
        </w:rPr>
      </w:pPr>
    </w:p>
    <w:p w:rsidR="00E8351D" w:rsidRDefault="00E8351D">
      <w:pPr>
        <w:widowControl w:val="0"/>
        <w:spacing w:after="0" w:line="240" w:lineRule="auto"/>
        <w:ind w:left="1133" w:right="226"/>
        <w:jc w:val="both"/>
        <w:rPr>
          <w:rFonts w:ascii="Arial" w:hAnsi="Arial" w:cs="Arial"/>
          <w:sz w:val="24"/>
          <w:szCs w:val="24"/>
        </w:rPr>
      </w:pP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ind w:left="2267" w:right="2267"/>
        <w:rPr>
          <w:rFonts w:ascii="Arial" w:hAnsi="Arial" w:cs="Arial"/>
          <w:sz w:val="24"/>
          <w:szCs w:val="24"/>
        </w:rPr>
      </w:pPr>
    </w:p>
    <w:tbl>
      <w:tblPr>
        <w:tblW w:w="5735" w:type="dxa"/>
        <w:tblInd w:w="2348" w:type="dxa"/>
        <w:tblCellMar>
          <w:left w:w="36" w:type="dxa"/>
          <w:right w:w="36" w:type="dxa"/>
        </w:tblCellMar>
        <w:tblLook w:val="0000" w:firstRow="0" w:lastRow="0" w:firstColumn="0" w:lastColumn="0" w:noHBand="0" w:noVBand="0"/>
      </w:tblPr>
      <w:tblGrid>
        <w:gridCol w:w="5735"/>
      </w:tblGrid>
      <w:tr w:rsidR="00E8351D">
        <w:tc>
          <w:tcPr>
            <w:tcW w:w="5735" w:type="dxa"/>
            <w:shd w:val="clear" w:color="auto" w:fill="D9D9D9"/>
          </w:tcPr>
          <w:p w:rsidR="00E8351D" w:rsidRDefault="00E8351D">
            <w:pPr>
              <w:widowControl w:val="0"/>
              <w:spacing w:after="0" w:line="240" w:lineRule="auto"/>
              <w:jc w:val="center"/>
              <w:rPr>
                <w:rFonts w:ascii="Arial" w:hAnsi="Arial" w:cs="Arial"/>
                <w:b/>
                <w:bCs/>
                <w:color w:val="000080"/>
                <w:sz w:val="72"/>
                <w:szCs w:val="72"/>
              </w:rPr>
            </w:pP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QUARTA</w:t>
            </w: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PARTE</w:t>
            </w:r>
          </w:p>
          <w:p w:rsidR="00E8351D" w:rsidRDefault="00E8351D">
            <w:pPr>
              <w:widowControl w:val="0"/>
              <w:spacing w:after="0" w:line="240" w:lineRule="auto"/>
              <w:jc w:val="center"/>
              <w:rPr>
                <w:rFonts w:ascii="Arial" w:hAnsi="Arial" w:cs="Arial"/>
                <w:color w:val="000080"/>
                <w:sz w:val="72"/>
                <w:szCs w:val="72"/>
              </w:rPr>
            </w:pPr>
          </w:p>
        </w:tc>
      </w:tr>
      <w:tr w:rsidR="00E8351D">
        <w:tc>
          <w:tcPr>
            <w:tcW w:w="5735" w:type="dxa"/>
            <w:shd w:val="clear" w:color="auto" w:fill="D9D9D9"/>
          </w:tcPr>
          <w:p w:rsidR="00E8351D" w:rsidRDefault="00E8351D">
            <w:pPr>
              <w:widowControl w:val="0"/>
              <w:spacing w:after="0" w:line="240" w:lineRule="auto"/>
              <w:rPr>
                <w:rFonts w:ascii="Arial" w:hAnsi="Arial" w:cs="Arial"/>
                <w:sz w:val="24"/>
                <w:szCs w:val="24"/>
              </w:rPr>
            </w:pPr>
          </w:p>
          <w:p w:rsidR="00E8351D" w:rsidRDefault="00872F84">
            <w:pPr>
              <w:widowControl w:val="0"/>
              <w:spacing w:after="0" w:line="240" w:lineRule="auto"/>
              <w:jc w:val="center"/>
              <w:rPr>
                <w:rFonts w:ascii="Arial" w:hAnsi="Arial" w:cs="Arial"/>
                <w:sz w:val="24"/>
                <w:szCs w:val="24"/>
              </w:rPr>
            </w:pPr>
            <w:r>
              <w:rPr>
                <w:noProof/>
                <w:lang w:eastAsia="it-IT"/>
              </w:rPr>
              <w:drawing>
                <wp:inline distT="0" distB="0" distL="0" distR="0">
                  <wp:extent cx="2962275" cy="2219325"/>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2"/>
                          <pic:cNvPicPr>
                            <a:picLocks noChangeAspect="1" noChangeArrowheads="1"/>
                          </pic:cNvPicPr>
                        </pic:nvPicPr>
                        <pic:blipFill>
                          <a:blip r:embed="rId10"/>
                          <a:stretch>
                            <a:fillRect/>
                          </a:stretch>
                        </pic:blipFill>
                        <pic:spPr bwMode="auto">
                          <a:xfrm>
                            <a:off x="0" y="0"/>
                            <a:ext cx="2962275" cy="2219325"/>
                          </a:xfrm>
                          <a:prstGeom prst="rect">
                            <a:avLst/>
                          </a:prstGeom>
                        </pic:spPr>
                      </pic:pic>
                    </a:graphicData>
                  </a:graphic>
                </wp:inline>
              </w:drawing>
            </w: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jc w:val="center"/>
              <w:rPr>
                <w:rFonts w:ascii="Arial" w:hAnsi="Arial" w:cs="Arial"/>
                <w:color w:val="000080"/>
                <w:sz w:val="24"/>
                <w:szCs w:val="24"/>
              </w:rPr>
            </w:pPr>
          </w:p>
        </w:tc>
      </w:tr>
      <w:tr w:rsidR="00E8351D">
        <w:tc>
          <w:tcPr>
            <w:tcW w:w="5735" w:type="dxa"/>
            <w:shd w:val="clear" w:color="auto" w:fill="D9D9D9"/>
          </w:tcPr>
          <w:p w:rsidR="00E8351D" w:rsidRDefault="00E8351D">
            <w:pPr>
              <w:widowControl w:val="0"/>
              <w:spacing w:after="0" w:line="240" w:lineRule="auto"/>
              <w:jc w:val="center"/>
              <w:rPr>
                <w:rFonts w:ascii="Arial" w:hAnsi="Arial" w:cs="Arial"/>
                <w:color w:val="000080"/>
                <w:sz w:val="24"/>
                <w:szCs w:val="24"/>
              </w:rPr>
            </w:pPr>
          </w:p>
          <w:p w:rsidR="00E8351D" w:rsidRDefault="00E8351D">
            <w:pPr>
              <w:widowControl w:val="0"/>
              <w:spacing w:after="0" w:line="240" w:lineRule="auto"/>
              <w:jc w:val="center"/>
              <w:rPr>
                <w:rFonts w:ascii="Arial" w:hAnsi="Arial" w:cs="Arial"/>
                <w:color w:val="000080"/>
                <w:sz w:val="24"/>
                <w:szCs w:val="24"/>
              </w:rPr>
            </w:pPr>
          </w:p>
          <w:p w:rsidR="00E8351D" w:rsidRDefault="00872F84">
            <w:pPr>
              <w:widowControl w:val="0"/>
              <w:spacing w:after="0" w:line="240" w:lineRule="auto"/>
              <w:jc w:val="center"/>
              <w:rPr>
                <w:rFonts w:ascii="Arial" w:hAnsi="Arial" w:cs="Arial"/>
                <w:color w:val="000080"/>
                <w:sz w:val="72"/>
                <w:szCs w:val="72"/>
              </w:rPr>
            </w:pPr>
            <w:r>
              <w:rPr>
                <w:rFonts w:ascii="Arial" w:hAnsi="Arial" w:cs="Arial"/>
                <w:color w:val="000080"/>
                <w:sz w:val="72"/>
                <w:szCs w:val="72"/>
              </w:rPr>
              <w:t>IL RISPETTO DEL PAREGGIO DI</w:t>
            </w:r>
            <w:r>
              <w:rPr>
                <w:rFonts w:ascii="Arial" w:hAnsi="Arial" w:cs="Arial"/>
                <w:color w:val="000080"/>
                <w:sz w:val="72"/>
                <w:szCs w:val="72"/>
              </w:rPr>
              <w:t xml:space="preserve"> BILANCIO</w:t>
            </w:r>
          </w:p>
          <w:p w:rsidR="00E8351D" w:rsidRDefault="00E8351D">
            <w:pPr>
              <w:widowControl w:val="0"/>
              <w:spacing w:after="0" w:line="240" w:lineRule="auto"/>
              <w:jc w:val="center"/>
              <w:rPr>
                <w:rFonts w:ascii="Arial" w:hAnsi="Arial" w:cs="Arial"/>
                <w:color w:val="000080"/>
                <w:sz w:val="24"/>
                <w:szCs w:val="24"/>
              </w:rPr>
            </w:pPr>
          </w:p>
          <w:p w:rsidR="00E8351D" w:rsidRDefault="00E8351D">
            <w:pPr>
              <w:widowControl w:val="0"/>
              <w:spacing w:after="0" w:line="240" w:lineRule="auto"/>
              <w:jc w:val="center"/>
              <w:rPr>
                <w:rFonts w:ascii="Arial" w:hAnsi="Arial" w:cs="Arial"/>
                <w:color w:val="000080"/>
                <w:sz w:val="24"/>
                <w:szCs w:val="24"/>
              </w:rPr>
            </w:pPr>
          </w:p>
        </w:tc>
      </w:tr>
    </w:tbl>
    <w:p w:rsidR="00E8351D" w:rsidRDefault="00E8351D">
      <w:pPr>
        <w:widowControl w:val="0"/>
        <w:spacing w:after="0" w:line="240" w:lineRule="auto"/>
        <w:ind w:left="2267" w:right="2267"/>
        <w:rPr>
          <w:rFonts w:ascii="Arial" w:hAnsi="Arial" w:cs="Arial"/>
          <w:sz w:val="24"/>
          <w:szCs w:val="24"/>
        </w:rPr>
      </w:pPr>
    </w:p>
    <w:p w:rsidR="00E8351D" w:rsidRDefault="00E8351D">
      <w:pPr>
        <w:widowControl w:val="0"/>
        <w:spacing w:after="0" w:line="240" w:lineRule="auto"/>
        <w:jc w:val="center"/>
        <w:rPr>
          <w:rFonts w:ascii="Arial" w:hAnsi="Arial" w:cs="Arial"/>
        </w:rPr>
      </w:pPr>
    </w:p>
    <w:p w:rsidR="00E8351D" w:rsidRDefault="00872F84">
      <w:pPr>
        <w:widowControl w:val="0"/>
        <w:spacing w:after="0" w:line="240" w:lineRule="auto"/>
        <w:ind w:left="1133" w:right="226"/>
        <w:jc w:val="both"/>
        <w:rPr>
          <w:rFonts w:ascii="Arial" w:hAnsi="Arial" w:cs="Arial"/>
          <w:sz w:val="24"/>
          <w:szCs w:val="24"/>
        </w:rPr>
      </w:pPr>
      <w:r>
        <w:br w:type="page"/>
      </w:r>
    </w:p>
    <w:tbl>
      <w:tblPr>
        <w:tblW w:w="10314" w:type="dxa"/>
        <w:tblLook w:val="0000" w:firstRow="0" w:lastRow="0" w:firstColumn="0" w:lastColumn="0" w:noHBand="0" w:noVBand="0"/>
      </w:tblPr>
      <w:tblGrid>
        <w:gridCol w:w="10314"/>
      </w:tblGrid>
      <w:tr w:rsidR="00E8351D">
        <w:tc>
          <w:tcPr>
            <w:tcW w:w="10314" w:type="dxa"/>
            <w:shd w:val="clear" w:color="auto" w:fill="D9D9D9"/>
          </w:tcPr>
          <w:p w:rsidR="00E8351D" w:rsidRDefault="00E8351D">
            <w:pPr>
              <w:pageBreakBefore/>
              <w:widowControl w:val="0"/>
              <w:spacing w:after="0" w:line="240" w:lineRule="auto"/>
              <w:ind w:left="10" w:hanging="5"/>
              <w:rPr>
                <w:rFonts w:ascii="Arial" w:hAnsi="Arial" w:cs="Arial"/>
                <w:color w:val="000080"/>
                <w:sz w:val="24"/>
                <w:szCs w:val="24"/>
              </w:rPr>
            </w:pPr>
          </w:p>
          <w:p w:rsidR="00E8351D" w:rsidRDefault="00872F84">
            <w:pPr>
              <w:widowControl w:val="0"/>
              <w:spacing w:after="0" w:line="240" w:lineRule="auto"/>
              <w:rPr>
                <w:rFonts w:ascii="Arial" w:hAnsi="Arial" w:cs="Arial"/>
                <w:b/>
                <w:bCs/>
                <w:color w:val="000080"/>
                <w:sz w:val="24"/>
                <w:szCs w:val="24"/>
              </w:rPr>
            </w:pPr>
            <w:r>
              <w:rPr>
                <w:rFonts w:ascii="Arial" w:hAnsi="Arial" w:cs="Arial"/>
                <w:b/>
                <w:bCs/>
                <w:color w:val="000080"/>
                <w:sz w:val="24"/>
                <w:szCs w:val="24"/>
              </w:rPr>
              <w:t>4.1 Il nuovo vincolo di finanza pubblica: il principio del pareggio di bilancio</w:t>
            </w:r>
          </w:p>
          <w:p w:rsidR="00E8351D" w:rsidRDefault="00E8351D">
            <w:pPr>
              <w:widowControl w:val="0"/>
              <w:spacing w:after="0" w:line="240" w:lineRule="auto"/>
              <w:ind w:left="10" w:hanging="5"/>
              <w:rPr>
                <w:rFonts w:ascii="Arial" w:hAnsi="Arial" w:cs="Arial"/>
                <w:color w:val="000080"/>
                <w:sz w:val="24"/>
                <w:szCs w:val="24"/>
              </w:rPr>
            </w:pPr>
          </w:p>
        </w:tc>
      </w:tr>
    </w:tbl>
    <w:p w:rsidR="00E8351D" w:rsidRDefault="00E8351D">
      <w:pPr>
        <w:widowControl w:val="0"/>
        <w:spacing w:after="0" w:line="240" w:lineRule="auto"/>
        <w:ind w:left="1133" w:right="226"/>
        <w:jc w:val="both"/>
        <w:rPr>
          <w:rFonts w:ascii="Arial" w:hAnsi="Arial" w:cs="Arial"/>
        </w:rPr>
      </w:pPr>
    </w:p>
    <w:p w:rsidR="00E8351D" w:rsidRDefault="00872F84">
      <w:pPr>
        <w:widowControl w:val="0"/>
        <w:spacing w:after="0" w:line="240" w:lineRule="auto"/>
        <w:ind w:left="1133" w:right="198"/>
        <w:jc w:val="both"/>
        <w:rPr>
          <w:rFonts w:ascii="Arial" w:hAnsi="Arial" w:cs="Arial"/>
        </w:rPr>
      </w:pPr>
      <w:r>
        <w:rPr>
          <w:rFonts w:ascii="Arial" w:hAnsi="Arial" w:cs="Arial"/>
        </w:rPr>
        <w:tab/>
      </w:r>
    </w:p>
    <w:p w:rsidR="00E8351D" w:rsidRDefault="00872F84">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rPr>
      </w:pPr>
      <w:r>
        <w:rPr>
          <w:rFonts w:ascii="Arial" w:hAnsi="Arial" w:cs="Arial"/>
        </w:rPr>
        <w:tab/>
      </w:r>
      <w:r>
        <w:rPr>
          <w:rFonts w:ascii="Arial" w:hAnsi="Arial" w:cs="Arial"/>
        </w:rPr>
        <w:tab/>
        <w:t>Il novellato art. 9 della legge 243/2012 in materia di equilibrio dei bilanci delle regioni e degli enti locali, prevede che:</w:t>
      </w:r>
    </w:p>
    <w:p w:rsidR="00E8351D" w:rsidRDefault="00E8351D">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rPr>
      </w:pPr>
    </w:p>
    <w:p w:rsidR="00E8351D" w:rsidRDefault="00872F84">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i/>
          <w:iCs/>
        </w:rPr>
      </w:pPr>
      <w:r>
        <w:rPr>
          <w:rFonts w:ascii="Arial" w:hAnsi="Arial" w:cs="Arial"/>
          <w:i/>
          <w:iCs/>
        </w:rPr>
        <w:tab/>
      </w:r>
      <w:r>
        <w:rPr>
          <w:rFonts w:ascii="Arial" w:hAnsi="Arial" w:cs="Arial"/>
          <w:i/>
          <w:iCs/>
        </w:rPr>
        <w:tab/>
        <w:t xml:space="preserve">“I bilanci delle </w:t>
      </w:r>
      <w:r>
        <w:rPr>
          <w:rFonts w:ascii="Arial" w:hAnsi="Arial" w:cs="Arial"/>
          <w:i/>
          <w:iCs/>
        </w:rPr>
        <w:t>regioni, dei comuni, delle province, delle città metropolitane e delle province autonome di Trento e di Bolzano si considerano in equilibrio quando, sia nella fase di previsione che di rendiconto, conseguono un saldo non negativo, in termini di competenza,</w:t>
      </w:r>
      <w:r>
        <w:rPr>
          <w:rFonts w:ascii="Arial" w:hAnsi="Arial" w:cs="Arial"/>
          <w:i/>
          <w:iCs/>
        </w:rPr>
        <w:t xml:space="preserve"> tra le entrate finali e le spese finali …</w:t>
      </w:r>
    </w:p>
    <w:p w:rsidR="00E8351D" w:rsidRDefault="00E8351D">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i/>
          <w:iCs/>
        </w:rPr>
      </w:pPr>
    </w:p>
    <w:p w:rsidR="00E8351D" w:rsidRDefault="00872F84">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i/>
          <w:iCs/>
        </w:rPr>
      </w:pPr>
      <w:r>
        <w:rPr>
          <w:rFonts w:ascii="Arial" w:hAnsi="Arial" w:cs="Arial"/>
          <w:i/>
          <w:iCs/>
        </w:rPr>
        <w:tab/>
      </w:r>
      <w:r>
        <w:rPr>
          <w:rFonts w:ascii="Arial" w:hAnsi="Arial" w:cs="Arial"/>
          <w:i/>
          <w:iCs/>
        </w:rPr>
        <w:tab/>
        <w:t>Ai fini dell'applicazione del comma 1, le entrate finali sono quelle ascrivibili ai titoli 1, 2, 3, 4 e 5 dello schema di bilancio previsto dal decreto legislativo 23 giugno 2011, n. 118, e le spese finali sono</w:t>
      </w:r>
      <w:r>
        <w:rPr>
          <w:rFonts w:ascii="Arial" w:hAnsi="Arial" w:cs="Arial"/>
          <w:i/>
          <w:iCs/>
        </w:rPr>
        <w:t xml:space="preserve"> quelle ascrivibili ai titoli 1, 2 e 3 del medesimo schema di bilancio. Per gli anni 2017-2019, con la legge di bilancio, compatibilmente con gli obiettivi di finanza pubblica e su base triennale, è prevista l'introduzione del fondo pluriennale vincolato, </w:t>
      </w:r>
      <w:r>
        <w:rPr>
          <w:rFonts w:ascii="Arial" w:hAnsi="Arial" w:cs="Arial"/>
          <w:i/>
          <w:iCs/>
        </w:rPr>
        <w:t>di entrata e di spesa. A decorrere dall'esercizio 2020, tra le entrate e le spese finali è incluso il fondo pluriennale vincolato di entrata e di spesa, finanziato dalle entrate finali.”</w:t>
      </w:r>
    </w:p>
    <w:p w:rsidR="00E8351D" w:rsidRDefault="00E8351D">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rPr>
      </w:pPr>
    </w:p>
    <w:p w:rsidR="00E8351D" w:rsidRDefault="00872F84">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rPr>
      </w:pPr>
      <w:r>
        <w:rPr>
          <w:rFonts w:ascii="Arial" w:hAnsi="Arial" w:cs="Arial"/>
        </w:rPr>
        <w:tab/>
      </w:r>
      <w:r>
        <w:rPr>
          <w:rFonts w:ascii="Arial" w:hAnsi="Arial" w:cs="Arial"/>
        </w:rPr>
        <w:tab/>
        <w:t>In sostanza la legge 164 del 12 agosto 2016 che ha apportato modif</w:t>
      </w:r>
      <w:r>
        <w:rPr>
          <w:rFonts w:ascii="Arial" w:hAnsi="Arial" w:cs="Arial"/>
        </w:rPr>
        <w:t>iche alla legge 243/2012, la legge in materia di equilibrio dei bilanci delle regioni e degli enti locali, ha fatto proprio  il principio del pareggio di bilancio così come introdotto dalla legge di stabilità per il 2016 determinando, in maniera definitiva</w:t>
      </w:r>
      <w:r>
        <w:rPr>
          <w:rFonts w:ascii="Arial" w:hAnsi="Arial" w:cs="Arial"/>
        </w:rPr>
        <w:t>, il superamento dei saldi di cassa e del saldo di competenza di parte corrente.</w:t>
      </w:r>
    </w:p>
    <w:p w:rsidR="00E8351D" w:rsidRDefault="00E8351D">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s>
        <w:spacing w:after="0" w:line="240" w:lineRule="auto"/>
        <w:jc w:val="both"/>
        <w:rPr>
          <w:rFonts w:ascii="Arial" w:hAnsi="Arial" w:cs="Arial"/>
        </w:rPr>
      </w:pPr>
    </w:p>
    <w:p w:rsidR="00E8351D" w:rsidRDefault="00872F84">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rPr>
      </w:pPr>
      <w:r>
        <w:rPr>
          <w:rFonts w:ascii="Arial" w:hAnsi="Arial" w:cs="Arial"/>
        </w:rPr>
        <w:tab/>
      </w:r>
      <w:r>
        <w:rPr>
          <w:rFonts w:ascii="Arial" w:hAnsi="Arial" w:cs="Arial"/>
        </w:rPr>
        <w:tab/>
        <w:t>La novità riguarda l’inserimento nel saldo di competenza finale del fondo pluriennale vincolato formato da entrate finali a partire dal 2020. Per gli anni 2017-2019, è dema</w:t>
      </w:r>
      <w:r>
        <w:rPr>
          <w:rFonts w:ascii="Arial" w:hAnsi="Arial" w:cs="Arial"/>
        </w:rPr>
        <w:t>ndata alla legge di bilancio, compatibilmente con gli obiettivi di finanza pubblica, l’inclusione nel saldo o meno. E la legge di bilancio approvata il 7 dicembre ne prevede, al comma 466, la rilevanza, sia in entrata, che in uscita, al netto delle quote f</w:t>
      </w:r>
      <w:r>
        <w:rPr>
          <w:rFonts w:ascii="Arial" w:hAnsi="Arial" w:cs="Arial"/>
        </w:rPr>
        <w:t>inanziate da debito</w:t>
      </w:r>
    </w:p>
    <w:p w:rsidR="00E8351D" w:rsidRDefault="00E8351D">
      <w:pPr>
        <w:widowControl w:val="0"/>
        <w:tabs>
          <w:tab w:val="left" w:pos="708"/>
          <w:tab w:val="left" w:pos="1134"/>
          <w:tab w:val="left" w:pos="1416"/>
          <w:tab w:val="left" w:pos="2124"/>
          <w:tab w:val="left" w:pos="2832"/>
          <w:tab w:val="left" w:pos="3540"/>
          <w:tab w:val="left" w:pos="4248"/>
          <w:tab w:val="left" w:pos="4956"/>
          <w:tab w:val="left" w:pos="5670"/>
          <w:tab w:val="left" w:pos="6372"/>
          <w:tab w:val="left" w:pos="7080"/>
          <w:tab w:val="left" w:pos="7788"/>
          <w:tab w:val="left" w:pos="8496"/>
        </w:tabs>
        <w:spacing w:after="0" w:line="240" w:lineRule="auto"/>
        <w:ind w:left="1133"/>
        <w:jc w:val="both"/>
        <w:rPr>
          <w:rFonts w:ascii="Arial" w:hAnsi="Arial" w:cs="Arial"/>
        </w:rPr>
      </w:pPr>
    </w:p>
    <w:p w:rsidR="00E8351D" w:rsidRDefault="00872F84">
      <w:pPr>
        <w:widowControl w:val="0"/>
        <w:tabs>
          <w:tab w:val="left" w:pos="1417"/>
        </w:tabs>
        <w:spacing w:after="0" w:line="240" w:lineRule="auto"/>
        <w:ind w:left="1133" w:right="198"/>
        <w:jc w:val="both"/>
        <w:rPr>
          <w:rFonts w:ascii="Arial" w:hAnsi="Arial" w:cs="Arial"/>
        </w:rPr>
      </w:pPr>
      <w:r>
        <w:rPr>
          <w:rFonts w:ascii="Arial" w:hAnsi="Arial" w:cs="Arial"/>
        </w:rPr>
        <w:tab/>
        <w:t>Pertanto, per il nostro ente il vincolo del pareggio di bilancio risulta conseguito nei seguenti termini:</w:t>
      </w: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872F84">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r>
        <w:rPr>
          <w:rFonts w:ascii="Times New Roman" w:hAnsi="Times New Roman" w:cs="Times New Roman"/>
          <w:noProof/>
          <w:lang w:eastAsia="it-IT"/>
        </w:rPr>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5892165" cy="7762875"/>
            <wp:effectExtent l="0" t="0" r="0" b="0"/>
            <wp:wrapSquare wrapText="largest"/>
            <wp:docPr id="5" name="Immagin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6"/>
                    <pic:cNvPicPr>
                      <a:picLocks noChangeAspect="1" noChangeArrowheads="1"/>
                    </pic:cNvPicPr>
                  </pic:nvPicPr>
                  <pic:blipFill>
                    <a:blip r:embed="rId11"/>
                    <a:stretch>
                      <a:fillRect/>
                    </a:stretch>
                  </pic:blipFill>
                  <pic:spPr bwMode="auto">
                    <a:xfrm>
                      <a:off x="0" y="0"/>
                      <a:ext cx="5892165" cy="7762875"/>
                    </a:xfrm>
                    <a:prstGeom prst="rect">
                      <a:avLst/>
                    </a:prstGeom>
                  </pic:spPr>
                </pic:pic>
              </a:graphicData>
            </a:graphic>
          </wp:anchor>
        </w:drawing>
      </w: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Times New Roman" w:hAnsi="Times New Roman" w:cs="Times New Roman"/>
        </w:rPr>
      </w:pPr>
    </w:p>
    <w:p w:rsidR="00E8351D" w:rsidRDefault="00E8351D">
      <w:pPr>
        <w:widowControl w:val="0"/>
        <w:tabs>
          <w:tab w:val="left" w:pos="708"/>
          <w:tab w:val="left" w:pos="1134"/>
          <w:tab w:val="left" w:pos="1416"/>
          <w:tab w:val="left" w:pos="2124"/>
          <w:tab w:val="left" w:pos="2268"/>
          <w:tab w:val="left" w:pos="2832"/>
          <w:tab w:val="left" w:pos="3402"/>
          <w:tab w:val="left" w:pos="3540"/>
          <w:tab w:val="left" w:pos="4248"/>
          <w:tab w:val="left" w:pos="4536"/>
          <w:tab w:val="left" w:pos="4956"/>
          <w:tab w:val="left" w:pos="5670"/>
          <w:tab w:val="left" w:pos="6372"/>
        </w:tabs>
        <w:spacing w:after="0" w:line="240" w:lineRule="auto"/>
        <w:ind w:left="1133"/>
        <w:jc w:val="both"/>
        <w:rPr>
          <w:rFonts w:ascii="Arial" w:hAnsi="Arial" w:cs="Arial"/>
          <w:sz w:val="24"/>
          <w:szCs w:val="24"/>
        </w:rPr>
      </w:pP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ind w:left="2267" w:right="2267"/>
        <w:rPr>
          <w:rFonts w:ascii="Arial" w:hAnsi="Arial" w:cs="Arial"/>
          <w:sz w:val="24"/>
          <w:szCs w:val="24"/>
        </w:rPr>
      </w:pPr>
    </w:p>
    <w:tbl>
      <w:tblPr>
        <w:tblW w:w="5735" w:type="dxa"/>
        <w:tblInd w:w="2348" w:type="dxa"/>
        <w:tblCellMar>
          <w:left w:w="36" w:type="dxa"/>
          <w:right w:w="36" w:type="dxa"/>
        </w:tblCellMar>
        <w:tblLook w:val="0000" w:firstRow="0" w:lastRow="0" w:firstColumn="0" w:lastColumn="0" w:noHBand="0" w:noVBand="0"/>
      </w:tblPr>
      <w:tblGrid>
        <w:gridCol w:w="5735"/>
      </w:tblGrid>
      <w:tr w:rsidR="00E8351D">
        <w:tc>
          <w:tcPr>
            <w:tcW w:w="5735" w:type="dxa"/>
            <w:shd w:val="clear" w:color="auto" w:fill="D9D9D9"/>
          </w:tcPr>
          <w:p w:rsidR="00E8351D" w:rsidRDefault="00E8351D">
            <w:pPr>
              <w:widowControl w:val="0"/>
              <w:spacing w:after="0" w:line="240" w:lineRule="auto"/>
              <w:jc w:val="center"/>
              <w:rPr>
                <w:rFonts w:ascii="Arial" w:hAnsi="Arial" w:cs="Arial"/>
                <w:b/>
                <w:bCs/>
                <w:color w:val="000080"/>
                <w:sz w:val="72"/>
                <w:szCs w:val="72"/>
              </w:rPr>
            </w:pP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QUINTA</w:t>
            </w:r>
          </w:p>
          <w:p w:rsidR="00E8351D" w:rsidRDefault="00872F84">
            <w:pPr>
              <w:widowControl w:val="0"/>
              <w:spacing w:after="0" w:line="240" w:lineRule="auto"/>
              <w:jc w:val="center"/>
              <w:rPr>
                <w:rFonts w:ascii="Arial" w:hAnsi="Arial" w:cs="Arial"/>
                <w:b/>
                <w:bCs/>
                <w:color w:val="000080"/>
                <w:sz w:val="72"/>
                <w:szCs w:val="72"/>
              </w:rPr>
            </w:pPr>
            <w:r>
              <w:rPr>
                <w:rFonts w:ascii="Arial" w:hAnsi="Arial" w:cs="Arial"/>
                <w:b/>
                <w:bCs/>
                <w:color w:val="000080"/>
                <w:sz w:val="72"/>
                <w:szCs w:val="72"/>
              </w:rPr>
              <w:t>PARTE</w:t>
            </w:r>
          </w:p>
          <w:p w:rsidR="00E8351D" w:rsidRDefault="00E8351D">
            <w:pPr>
              <w:widowControl w:val="0"/>
              <w:spacing w:after="0" w:line="240" w:lineRule="auto"/>
              <w:jc w:val="center"/>
              <w:rPr>
                <w:rFonts w:ascii="Arial" w:hAnsi="Arial" w:cs="Arial"/>
                <w:color w:val="000080"/>
                <w:sz w:val="72"/>
                <w:szCs w:val="72"/>
              </w:rPr>
            </w:pPr>
          </w:p>
        </w:tc>
      </w:tr>
      <w:tr w:rsidR="00E8351D">
        <w:tc>
          <w:tcPr>
            <w:tcW w:w="5735" w:type="dxa"/>
            <w:shd w:val="clear" w:color="auto" w:fill="D9D9D9"/>
          </w:tcPr>
          <w:p w:rsidR="00E8351D" w:rsidRDefault="00E8351D">
            <w:pPr>
              <w:widowControl w:val="0"/>
              <w:spacing w:after="0" w:line="240" w:lineRule="auto"/>
              <w:rPr>
                <w:rFonts w:ascii="Arial" w:hAnsi="Arial" w:cs="Arial"/>
                <w:sz w:val="24"/>
                <w:szCs w:val="24"/>
              </w:rPr>
            </w:pPr>
          </w:p>
          <w:p w:rsidR="00E8351D" w:rsidRDefault="00872F84">
            <w:pPr>
              <w:widowControl w:val="0"/>
              <w:spacing w:after="0" w:line="240" w:lineRule="auto"/>
              <w:jc w:val="center"/>
              <w:rPr>
                <w:rFonts w:ascii="Arial" w:hAnsi="Arial" w:cs="Arial"/>
                <w:sz w:val="24"/>
                <w:szCs w:val="24"/>
              </w:rPr>
            </w:pPr>
            <w:r>
              <w:rPr>
                <w:noProof/>
                <w:lang w:eastAsia="it-IT"/>
              </w:rPr>
              <w:drawing>
                <wp:inline distT="0" distB="0" distL="0" distR="0">
                  <wp:extent cx="2943225" cy="2333625"/>
                  <wp:effectExtent l="0" t="0" r="0" b="0"/>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
                          <pic:cNvPicPr>
                            <a:picLocks noChangeAspect="1" noChangeArrowheads="1"/>
                          </pic:cNvPicPr>
                        </pic:nvPicPr>
                        <pic:blipFill>
                          <a:blip r:embed="rId12"/>
                          <a:stretch>
                            <a:fillRect/>
                          </a:stretch>
                        </pic:blipFill>
                        <pic:spPr bwMode="auto">
                          <a:xfrm>
                            <a:off x="0" y="0"/>
                            <a:ext cx="2943225" cy="2333625"/>
                          </a:xfrm>
                          <a:prstGeom prst="rect">
                            <a:avLst/>
                          </a:prstGeom>
                        </pic:spPr>
                      </pic:pic>
                    </a:graphicData>
                  </a:graphic>
                </wp:inline>
              </w:drawing>
            </w:r>
          </w:p>
          <w:p w:rsidR="00E8351D" w:rsidRDefault="00E8351D">
            <w:pPr>
              <w:widowControl w:val="0"/>
              <w:spacing w:after="0" w:line="240" w:lineRule="auto"/>
              <w:rPr>
                <w:rFonts w:ascii="Arial" w:hAnsi="Arial" w:cs="Arial"/>
                <w:sz w:val="24"/>
                <w:szCs w:val="24"/>
              </w:rPr>
            </w:pPr>
          </w:p>
          <w:p w:rsidR="00E8351D" w:rsidRDefault="00E8351D">
            <w:pPr>
              <w:widowControl w:val="0"/>
              <w:spacing w:after="0" w:line="240" w:lineRule="auto"/>
              <w:jc w:val="center"/>
              <w:rPr>
                <w:rFonts w:ascii="Arial" w:hAnsi="Arial" w:cs="Arial"/>
                <w:color w:val="000080"/>
                <w:sz w:val="24"/>
                <w:szCs w:val="24"/>
              </w:rPr>
            </w:pPr>
          </w:p>
        </w:tc>
      </w:tr>
      <w:tr w:rsidR="00E8351D">
        <w:tc>
          <w:tcPr>
            <w:tcW w:w="5735" w:type="dxa"/>
            <w:shd w:val="clear" w:color="auto" w:fill="D9D9D9"/>
          </w:tcPr>
          <w:p w:rsidR="00E8351D" w:rsidRDefault="00E8351D">
            <w:pPr>
              <w:widowControl w:val="0"/>
              <w:spacing w:after="0" w:line="240" w:lineRule="auto"/>
              <w:jc w:val="center"/>
              <w:rPr>
                <w:rFonts w:ascii="Arial" w:hAnsi="Arial" w:cs="Arial"/>
                <w:color w:val="000080"/>
                <w:sz w:val="24"/>
                <w:szCs w:val="24"/>
              </w:rPr>
            </w:pPr>
          </w:p>
          <w:p w:rsidR="00E8351D" w:rsidRDefault="00E8351D">
            <w:pPr>
              <w:widowControl w:val="0"/>
              <w:spacing w:after="0" w:line="240" w:lineRule="auto"/>
              <w:jc w:val="center"/>
              <w:rPr>
                <w:rFonts w:ascii="Arial" w:hAnsi="Arial" w:cs="Arial"/>
                <w:color w:val="000080"/>
                <w:sz w:val="24"/>
                <w:szCs w:val="24"/>
              </w:rPr>
            </w:pPr>
          </w:p>
          <w:p w:rsidR="00E8351D" w:rsidRDefault="00872F84">
            <w:pPr>
              <w:widowControl w:val="0"/>
              <w:spacing w:after="0" w:line="240" w:lineRule="auto"/>
              <w:jc w:val="center"/>
              <w:rPr>
                <w:rFonts w:ascii="Arial" w:hAnsi="Arial" w:cs="Arial"/>
                <w:color w:val="000080"/>
                <w:sz w:val="72"/>
                <w:szCs w:val="72"/>
              </w:rPr>
            </w:pPr>
            <w:r>
              <w:rPr>
                <w:rFonts w:ascii="Arial" w:hAnsi="Arial" w:cs="Arial"/>
                <w:color w:val="000080"/>
                <w:sz w:val="66"/>
                <w:szCs w:val="66"/>
              </w:rPr>
              <w:t>ORGANISMI STRUMENTALI E PARTECIPAZIONI</w:t>
            </w:r>
          </w:p>
          <w:p w:rsidR="00E8351D" w:rsidRDefault="00E8351D">
            <w:pPr>
              <w:widowControl w:val="0"/>
              <w:spacing w:after="0" w:line="240" w:lineRule="auto"/>
              <w:jc w:val="center"/>
              <w:rPr>
                <w:rFonts w:ascii="Arial" w:hAnsi="Arial" w:cs="Arial"/>
                <w:color w:val="000080"/>
                <w:sz w:val="24"/>
                <w:szCs w:val="24"/>
              </w:rPr>
            </w:pPr>
          </w:p>
          <w:p w:rsidR="00E8351D" w:rsidRDefault="00E8351D">
            <w:pPr>
              <w:widowControl w:val="0"/>
              <w:spacing w:after="0" w:line="240" w:lineRule="auto"/>
              <w:jc w:val="center"/>
              <w:rPr>
                <w:rFonts w:ascii="Arial" w:hAnsi="Arial" w:cs="Arial"/>
                <w:color w:val="000080"/>
                <w:sz w:val="24"/>
                <w:szCs w:val="24"/>
              </w:rPr>
            </w:pPr>
          </w:p>
        </w:tc>
      </w:tr>
    </w:tbl>
    <w:p w:rsidR="00E8351D" w:rsidRDefault="00E8351D">
      <w:pPr>
        <w:widowControl w:val="0"/>
        <w:spacing w:after="0" w:line="240" w:lineRule="auto"/>
        <w:ind w:left="2267" w:right="2267"/>
        <w:rPr>
          <w:rFonts w:ascii="Arial" w:hAnsi="Arial" w:cs="Arial"/>
          <w:sz w:val="24"/>
          <w:szCs w:val="24"/>
        </w:rPr>
      </w:pPr>
    </w:p>
    <w:p w:rsidR="00E8351D" w:rsidRDefault="00E8351D">
      <w:pPr>
        <w:widowControl w:val="0"/>
        <w:spacing w:after="0" w:line="240" w:lineRule="auto"/>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br w:type="page"/>
      </w:r>
    </w:p>
    <w:tbl>
      <w:tblPr>
        <w:tblW w:w="10314" w:type="dxa"/>
        <w:tblLook w:val="0000" w:firstRow="0" w:lastRow="0" w:firstColumn="0" w:lastColumn="0" w:noHBand="0" w:noVBand="0"/>
      </w:tblPr>
      <w:tblGrid>
        <w:gridCol w:w="10314"/>
      </w:tblGrid>
      <w:tr w:rsidR="00E8351D">
        <w:tc>
          <w:tcPr>
            <w:tcW w:w="10314" w:type="dxa"/>
            <w:shd w:val="clear" w:color="auto" w:fill="D9D9D9"/>
          </w:tcPr>
          <w:p w:rsidR="00E8351D" w:rsidRDefault="00E8351D">
            <w:pPr>
              <w:pageBreakBefore/>
              <w:widowControl w:val="0"/>
              <w:spacing w:after="0" w:line="240" w:lineRule="auto"/>
              <w:ind w:left="10" w:hanging="5"/>
              <w:rPr>
                <w:rFonts w:ascii="Arial" w:hAnsi="Arial" w:cs="Arial"/>
                <w:color w:val="000080"/>
                <w:sz w:val="24"/>
                <w:szCs w:val="24"/>
              </w:rPr>
            </w:pPr>
          </w:p>
          <w:p w:rsidR="00E8351D" w:rsidRDefault="00872F84">
            <w:pPr>
              <w:widowControl w:val="0"/>
              <w:spacing w:after="0" w:line="240" w:lineRule="auto"/>
              <w:rPr>
                <w:rFonts w:ascii="Arial" w:hAnsi="Arial" w:cs="Arial"/>
                <w:b/>
                <w:bCs/>
                <w:color w:val="000080"/>
                <w:sz w:val="24"/>
                <w:szCs w:val="24"/>
              </w:rPr>
            </w:pPr>
            <w:r>
              <w:rPr>
                <w:rFonts w:ascii="Arial" w:hAnsi="Arial" w:cs="Arial"/>
                <w:b/>
                <w:bCs/>
                <w:color w:val="000080"/>
                <w:sz w:val="24"/>
                <w:szCs w:val="24"/>
              </w:rPr>
              <w:t xml:space="preserve">5.1 Enti ed organismi </w:t>
            </w:r>
            <w:r>
              <w:rPr>
                <w:rFonts w:ascii="Arial" w:hAnsi="Arial" w:cs="Arial"/>
                <w:b/>
                <w:bCs/>
                <w:color w:val="000080"/>
                <w:sz w:val="24"/>
                <w:szCs w:val="24"/>
              </w:rPr>
              <w:t>strumentali</w:t>
            </w:r>
          </w:p>
          <w:p w:rsidR="00E8351D" w:rsidRDefault="00E8351D">
            <w:pPr>
              <w:widowControl w:val="0"/>
              <w:spacing w:after="0" w:line="240" w:lineRule="auto"/>
              <w:ind w:left="10" w:hanging="5"/>
              <w:rPr>
                <w:rFonts w:ascii="Arial" w:hAnsi="Arial" w:cs="Arial"/>
                <w:color w:val="000080"/>
                <w:sz w:val="24"/>
                <w:szCs w:val="24"/>
              </w:rPr>
            </w:pPr>
          </w:p>
        </w:tc>
      </w:tr>
    </w:tbl>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226"/>
        <w:jc w:val="both"/>
        <w:rPr>
          <w:rFonts w:ascii="Arial" w:hAnsi="Arial" w:cs="Arial"/>
          <w:sz w:val="24"/>
          <w:szCs w:val="24"/>
        </w:rPr>
      </w:pPr>
      <w:r>
        <w:rPr>
          <w:rFonts w:ascii="Arial" w:hAnsi="Arial" w:cs="Arial"/>
          <w:b/>
          <w:bCs/>
          <w:i/>
          <w:iCs/>
          <w:color w:val="000080"/>
          <w:sz w:val="24"/>
          <w:szCs w:val="24"/>
        </w:rPr>
        <w:t>Rif. Principio Contabile n.1, p.to 9.11 lett. h) ed i)</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p>
    <w:p w:rsidR="00E8351D" w:rsidRDefault="00872F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color w:val="000000"/>
        </w:rPr>
        <w:tab/>
        <w:t>Il punto 9.11 del Principio contabile applicato alla Programmazione, nell’introdurre quale allegato al Bilancio di previsione la "</w:t>
      </w:r>
      <w:r>
        <w:rPr>
          <w:rFonts w:ascii="Arial" w:hAnsi="Arial" w:cs="Arial"/>
        </w:rPr>
        <w:t>nota integrativa", prevede espressamente che essa cont</w:t>
      </w:r>
      <w:r>
        <w:rPr>
          <w:rFonts w:ascii="Arial" w:hAnsi="Arial" w:cs="Arial"/>
        </w:rPr>
        <w:t>enga: "...</w:t>
      </w:r>
    </w:p>
    <w:p w:rsidR="00E8351D" w:rsidRDefault="00872F84">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700" w:right="226" w:hanging="283"/>
        <w:jc w:val="both"/>
        <w:rPr>
          <w:rFonts w:ascii="Arial" w:hAnsi="Arial" w:cs="Arial"/>
          <w:i/>
          <w:iCs/>
        </w:rPr>
      </w:pPr>
      <w:r>
        <w:rPr>
          <w:rFonts w:ascii="Arial" w:hAnsi="Arial" w:cs="Arial"/>
          <w:i/>
          <w:iCs/>
        </w:rPr>
        <w:t xml:space="preserve">h) l'elenco dei propri enti ed organismi strumentali, precisando che i relativi bilanci consuntivi sono consultabili nel proprio sito internet fermo restando quanto previsto per gli enti locali dall'articolo 172, comma 1, lettera a) del decreto </w:t>
      </w:r>
      <w:r>
        <w:rPr>
          <w:rFonts w:ascii="Arial" w:hAnsi="Arial" w:cs="Arial"/>
          <w:i/>
          <w:iCs/>
        </w:rPr>
        <w:t>legislativo 18 agosto 2000, n. 267;</w:t>
      </w:r>
    </w:p>
    <w:p w:rsidR="00E8351D" w:rsidRDefault="00872F84">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700" w:right="226" w:hanging="283"/>
        <w:jc w:val="both"/>
        <w:rPr>
          <w:rFonts w:ascii="Caladea" w:hAnsi="Caladea" w:cs="Caladea"/>
        </w:rPr>
      </w:pPr>
      <w:r>
        <w:rPr>
          <w:rFonts w:ascii="Arial" w:hAnsi="Arial" w:cs="Arial"/>
          <w:i/>
          <w:iCs/>
        </w:rPr>
        <w:t>i) l’elenco delle partecipazioni possedute con l’indicazione della relativa quota percentuale".</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rPr>
      </w:pPr>
      <w:r>
        <w:rPr>
          <w:rFonts w:ascii="Arial" w:hAnsi="Arial" w:cs="Arial"/>
        </w:rPr>
        <w:tab/>
        <w:t>Proprio per rispondere a questa disposizione, le tabelle che seguono riportano i dati prescritti; con riferimento agli enti</w:t>
      </w:r>
      <w:r>
        <w:rPr>
          <w:rFonts w:ascii="Arial" w:hAnsi="Arial" w:cs="Arial"/>
        </w:rPr>
        <w:t xml:space="preserve"> ed organismi strumentali partecipati, l’ente presenta la situazione di seguito riepilogata:</w:t>
      </w:r>
    </w:p>
    <w:p w:rsidR="00E8351D" w:rsidRDefault="00E83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Times New Roman" w:hAnsi="Times New Roman" w:cs="Times New Roman"/>
        </w:rPr>
      </w:pPr>
    </w:p>
    <w:p w:rsidR="00E8351D" w:rsidRDefault="00E8351D">
      <w:pPr>
        <w:widowControl w:val="0"/>
        <w:spacing w:after="0" w:line="240" w:lineRule="auto"/>
        <w:ind w:left="1133" w:right="226"/>
        <w:jc w:val="both"/>
        <w:rPr>
          <w:rFonts w:ascii="Arial" w:hAnsi="Arial" w:cs="Arial"/>
          <w:b/>
          <w:bCs/>
        </w:rPr>
      </w:pPr>
    </w:p>
    <w:tbl>
      <w:tblPr>
        <w:tblW w:w="878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1272"/>
        <w:gridCol w:w="2124"/>
        <w:gridCol w:w="2977"/>
        <w:gridCol w:w="2411"/>
      </w:tblGrid>
      <w:tr w:rsidR="00E8351D">
        <w:trPr>
          <w:trHeight w:val="1408"/>
        </w:trPr>
        <w:tc>
          <w:tcPr>
            <w:tcW w:w="12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b/>
                <w:bCs/>
                <w:sz w:val="18"/>
                <w:szCs w:val="18"/>
              </w:rPr>
            </w:pPr>
            <w:r>
              <w:rPr>
                <w:rFonts w:cs="Calibri"/>
                <w:b/>
                <w:bCs/>
                <w:sz w:val="18"/>
                <w:szCs w:val="18"/>
              </w:rPr>
              <w:t>NUMERO</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b/>
                <w:bCs/>
                <w:sz w:val="18"/>
                <w:szCs w:val="18"/>
              </w:rPr>
            </w:pPr>
            <w:r>
              <w:rPr>
                <w:rFonts w:cs="Calibri"/>
                <w:b/>
                <w:bCs/>
                <w:sz w:val="18"/>
                <w:szCs w:val="18"/>
              </w:rPr>
              <w:t>SOCIETA’ PARTECIPATE</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b/>
                <w:bCs/>
                <w:sz w:val="18"/>
                <w:szCs w:val="18"/>
              </w:rPr>
            </w:pPr>
            <w:r>
              <w:rPr>
                <w:rFonts w:cs="Calibri"/>
                <w:b/>
                <w:bCs/>
                <w:sz w:val="18"/>
                <w:szCs w:val="18"/>
              </w:rPr>
              <w:t>RAGIONE SOCIALE</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b/>
                <w:bCs/>
                <w:sz w:val="18"/>
                <w:szCs w:val="18"/>
              </w:rPr>
            </w:pPr>
            <w:r>
              <w:rPr>
                <w:rFonts w:cs="Calibri"/>
                <w:b/>
                <w:bCs/>
                <w:sz w:val="18"/>
                <w:szCs w:val="18"/>
              </w:rPr>
              <w:t>MISURA DELLA PARTECIPAZIONE DELL’AMMINISTRAZIONE</w:t>
            </w:r>
          </w:p>
        </w:tc>
      </w:tr>
      <w:tr w:rsidR="00E8351D">
        <w:tc>
          <w:tcPr>
            <w:tcW w:w="12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1</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Andria Multiservice S.p.A</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Andria Multiservice S.p.A, </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Piazza </w:t>
            </w:r>
            <w:r>
              <w:rPr>
                <w:rFonts w:cs="Calibri"/>
                <w:sz w:val="18"/>
                <w:szCs w:val="18"/>
              </w:rPr>
              <w:t>Umberto I, c/o Palazzo di Città,  76123 Andria (BT) P.I.: 00557280029</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100%</w:t>
            </w:r>
          </w:p>
        </w:tc>
      </w:tr>
      <w:tr w:rsidR="00E8351D">
        <w:tc>
          <w:tcPr>
            <w:tcW w:w="12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2</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Gal “le Città di Castel del Monte” s.c.a.r.l.</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Gal “le Città di Castel del Monte” s.c.a.r.l. </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 Piazza Umberto I, c/o Palazzo di Città,  76123 Andria (BT) Codice Fiscale/P.I.: </w:t>
            </w:r>
            <w:r>
              <w:rPr>
                <w:rFonts w:cs="Calibri"/>
                <w:sz w:val="18"/>
                <w:szCs w:val="18"/>
              </w:rPr>
              <w:t>06994970728</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18,34%</w:t>
            </w:r>
          </w:p>
        </w:tc>
      </w:tr>
      <w:tr w:rsidR="00E8351D">
        <w:tc>
          <w:tcPr>
            <w:tcW w:w="12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3</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Agenzia per l’occupazione e lo sviluppo dell’area nord-barese ofantina  s.c.a.r.l. </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Agenzia per l’occupazione e lo sviluppo dell’area nord-barese ofantina s.c.a.r.l. </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Via Andria S.S. 170 Km. 24+500  - 76123 Andria (BT) </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17,12%</w:t>
            </w:r>
          </w:p>
        </w:tc>
      </w:tr>
      <w:tr w:rsidR="00E8351D">
        <w:tc>
          <w:tcPr>
            <w:tcW w:w="12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 xml:space="preserve">4 </w:t>
            </w:r>
            <w:r>
              <w:rPr>
                <w:rFonts w:cs="Calibri"/>
                <w:b/>
                <w:bCs/>
                <w:position w:val="9"/>
                <w:sz w:val="18"/>
                <w:szCs w:val="18"/>
              </w:rPr>
              <w:t>(*)</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Gal “Murgia degli Svevi” s.r.l.</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Gal “Murgia degli Svevi”</w:t>
            </w:r>
          </w:p>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rPr>
                <w:rFonts w:ascii="Calibri" w:hAnsi="Calibri" w:cs="Calibri"/>
                <w:sz w:val="18"/>
                <w:szCs w:val="18"/>
              </w:rPr>
            </w:pPr>
            <w:r>
              <w:rPr>
                <w:rFonts w:cs="Calibri"/>
                <w:sz w:val="18"/>
                <w:szCs w:val="18"/>
              </w:rPr>
              <w:t xml:space="preserve"> Piazza della Libertà, n. 3 - 76123 Andria (BT) – Fraz. Montegrosso</w:t>
            </w:r>
          </w:p>
        </w:tc>
        <w:tc>
          <w:tcPr>
            <w:tcW w:w="241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E8351D" w:rsidRDefault="00872F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40" w:lineRule="exact"/>
              <w:jc w:val="center"/>
              <w:rPr>
                <w:rFonts w:ascii="Calibri" w:hAnsi="Calibri" w:cs="Calibri"/>
                <w:sz w:val="18"/>
                <w:szCs w:val="18"/>
              </w:rPr>
            </w:pPr>
            <w:r>
              <w:rPr>
                <w:rFonts w:cs="Calibri"/>
                <w:sz w:val="18"/>
                <w:szCs w:val="18"/>
              </w:rPr>
              <w:t>30%</w:t>
            </w:r>
          </w:p>
        </w:tc>
      </w:tr>
    </w:tbl>
    <w:p w:rsidR="00E8351D" w:rsidRDefault="00E8351D">
      <w:pPr>
        <w:widowControl w:val="0"/>
        <w:spacing w:after="0" w:line="240" w:lineRule="auto"/>
        <w:ind w:left="1133" w:right="226"/>
        <w:jc w:val="both"/>
        <w:rPr>
          <w:rFonts w:ascii="Garamond" w:hAnsi="Garamond" w:cs="Garamond"/>
          <w:b/>
          <w:bCs/>
          <w:sz w:val="24"/>
          <w:szCs w:val="24"/>
        </w:rPr>
      </w:pPr>
    </w:p>
    <w:p w:rsidR="00E8351D" w:rsidRDefault="00872F84">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right="1103" w:hanging="283"/>
        <w:jc w:val="both"/>
        <w:rPr>
          <w:rFonts w:ascii="Times New Roman" w:hAnsi="Times New Roman" w:cs="Times New Roman"/>
          <w:b/>
          <w:bCs/>
        </w:rPr>
      </w:pPr>
      <w:r>
        <w:rPr>
          <w:rFonts w:cs="Calibri"/>
          <w:b/>
          <w:bCs/>
          <w:position w:val="9"/>
        </w:rPr>
        <w:t xml:space="preserve">(*) </w:t>
      </w:r>
      <w:r>
        <w:rPr>
          <w:rFonts w:cs="Calibri"/>
          <w:b/>
          <w:bCs/>
        </w:rPr>
        <w:t xml:space="preserve">Si rappresenta che per la Società Gal “Murgia degli Svevi” s.r.l., con deliberazione di Consiglio Comunale n. 10 del </w:t>
      </w:r>
      <w:r>
        <w:rPr>
          <w:rFonts w:cs="Calibri"/>
          <w:b/>
          <w:bCs/>
        </w:rPr>
        <w:t>31.03.2016, è stata approvata la volontà di dismettere la quota di partecipazione ivi posseduta, ai sensi e per gli effetti dell’art. 1, commi 611 e ss., della Legge n. 190/2014 (Legge di stabilità 2015).</w:t>
      </w:r>
    </w:p>
    <w:p w:rsidR="00E8351D" w:rsidRDefault="00872F84">
      <w:pPr>
        <w:widowControl w:val="0"/>
        <w:tabs>
          <w:tab w:val="left" w:pos="283"/>
          <w:tab w:val="left" w:pos="991"/>
          <w:tab w:val="left" w:pos="1699"/>
          <w:tab w:val="left" w:pos="2407"/>
          <w:tab w:val="left" w:pos="3115"/>
          <w:tab w:val="left" w:pos="3823"/>
          <w:tab w:val="left" w:pos="4531"/>
          <w:tab w:val="left" w:pos="5239"/>
          <w:tab w:val="left" w:pos="5947"/>
          <w:tab w:val="left" w:pos="6655"/>
          <w:tab w:val="left" w:pos="7363"/>
          <w:tab w:val="left" w:pos="8071"/>
          <w:tab w:val="left" w:pos="8779"/>
          <w:tab w:val="left" w:pos="9204"/>
        </w:tabs>
        <w:spacing w:before="120" w:after="120" w:line="240" w:lineRule="auto"/>
        <w:jc w:val="both"/>
      </w:pPr>
      <w:r>
        <w:rPr>
          <w:rFonts w:cs="Arial"/>
          <w:shd w:val="clear" w:color="auto" w:fill="FFFFFF"/>
        </w:rPr>
        <w:t>Si precisa, inoltre, che  i relativi bilanci consun</w:t>
      </w:r>
      <w:r>
        <w:rPr>
          <w:rFonts w:cs="Arial"/>
          <w:shd w:val="clear" w:color="auto" w:fill="FFFFFF"/>
        </w:rPr>
        <w:t xml:space="preserve">tivi sono consultabili al sito internet </w:t>
      </w:r>
      <w:hyperlink r:id="rId13">
        <w:r>
          <w:rPr>
            <w:rStyle w:val="CollegamentoInternet"/>
            <w:rFonts w:cs="Arial"/>
            <w:color w:val="000080"/>
          </w:rPr>
          <w:t>http://www.comune.andria.bt.it/trasparenza/societa-partecipate/</w:t>
        </w:r>
      </w:hyperlink>
      <w:r>
        <w:rPr>
          <w:rFonts w:cs="Arial"/>
          <w:shd w:val="clear" w:color="auto" w:fill="FFFFFF"/>
        </w:rPr>
        <w:t>, fermo restando quanto previsto dall'articolo 172, comma 1, lettera a</w:t>
      </w:r>
      <w:r>
        <w:rPr>
          <w:rFonts w:cs="Arial"/>
          <w:shd w:val="clear" w:color="auto" w:fill="FFFFFF"/>
        </w:rPr>
        <w:t>) del decreto legislativo 18 agosto 2000, n. 2</w:t>
      </w:r>
      <w:r>
        <w:rPr>
          <w:rFonts w:cs="Times New Roman"/>
        </w:rPr>
        <w:t>67</w:t>
      </w: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b/>
          <w:bCs/>
          <w:sz w:val="24"/>
          <w:szCs w:val="24"/>
        </w:rPr>
      </w:pPr>
    </w:p>
    <w:p w:rsidR="00E8351D" w:rsidRDefault="00E8351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1133" w:right="226"/>
        <w:jc w:val="both"/>
        <w:rPr>
          <w:rFonts w:ascii="Arial" w:hAnsi="Arial" w:cs="Arial"/>
          <w:b/>
          <w:bCs/>
          <w:sz w:val="24"/>
          <w:szCs w:val="24"/>
        </w:rPr>
      </w:pPr>
    </w:p>
    <w:tbl>
      <w:tblPr>
        <w:tblW w:w="9500" w:type="dxa"/>
        <w:tblCellMar>
          <w:left w:w="36" w:type="dxa"/>
          <w:right w:w="36" w:type="dxa"/>
        </w:tblCellMar>
        <w:tblLook w:val="0000" w:firstRow="0" w:lastRow="0" w:firstColumn="0" w:lastColumn="0" w:noHBand="0" w:noVBand="0"/>
      </w:tblPr>
      <w:tblGrid>
        <w:gridCol w:w="1500"/>
        <w:gridCol w:w="6998"/>
        <w:gridCol w:w="1002"/>
      </w:tblGrid>
      <w:tr w:rsidR="00E8351D">
        <w:tc>
          <w:tcPr>
            <w:tcW w:w="1500" w:type="dxa"/>
            <w:shd w:val="clear" w:color="auto" w:fill="4BACC6"/>
          </w:tcPr>
          <w:p w:rsidR="00E8351D" w:rsidRDefault="00E8351D">
            <w:pPr>
              <w:widowControl w:val="0"/>
              <w:spacing w:after="0" w:line="240" w:lineRule="auto"/>
              <w:rPr>
                <w:rFonts w:ascii="Arial" w:hAnsi="Arial" w:cs="Arial"/>
                <w:color w:val="000000"/>
                <w:sz w:val="20"/>
                <w:szCs w:val="20"/>
              </w:rPr>
            </w:pPr>
          </w:p>
        </w:tc>
        <w:tc>
          <w:tcPr>
            <w:tcW w:w="6998" w:type="dxa"/>
            <w:shd w:val="clear" w:color="auto" w:fill="4BACC6"/>
          </w:tcPr>
          <w:p w:rsidR="00E8351D" w:rsidRDefault="00872F84">
            <w:pPr>
              <w:widowControl w:val="0"/>
              <w:spacing w:after="0" w:line="240" w:lineRule="auto"/>
              <w:jc w:val="center"/>
              <w:rPr>
                <w:rFonts w:ascii="Arial" w:hAnsi="Arial" w:cs="Arial"/>
                <w:color w:val="000000"/>
                <w:sz w:val="20"/>
                <w:szCs w:val="20"/>
              </w:rPr>
            </w:pPr>
            <w:r>
              <w:rPr>
                <w:rFonts w:ascii="Arial" w:hAnsi="Arial" w:cs="Arial"/>
                <w:b/>
                <w:bCs/>
                <w:color w:val="FFFFFF"/>
                <w:sz w:val="20"/>
                <w:szCs w:val="20"/>
              </w:rPr>
              <w:t>Indice</w:t>
            </w:r>
          </w:p>
        </w:tc>
        <w:tc>
          <w:tcPr>
            <w:tcW w:w="1002" w:type="dxa"/>
            <w:shd w:val="clear" w:color="auto" w:fill="4BACC6"/>
            <w:vAlign w:val="bottom"/>
          </w:tcPr>
          <w:p w:rsidR="00E8351D" w:rsidRDefault="00E8351D">
            <w:pPr>
              <w:widowControl w:val="0"/>
              <w:spacing w:after="0" w:line="240" w:lineRule="auto"/>
              <w:jc w:val="right"/>
              <w:rPr>
                <w:rFonts w:ascii="Arial" w:hAnsi="Arial" w:cs="Arial"/>
                <w:color w:val="000000"/>
                <w:sz w:val="20"/>
                <w:szCs w:val="20"/>
              </w:rPr>
            </w:pPr>
          </w:p>
        </w:tc>
      </w:tr>
      <w:tr w:rsidR="00E8351D">
        <w:tc>
          <w:tcPr>
            <w:tcW w:w="1500" w:type="dxa"/>
            <w:shd w:val="clear" w:color="auto" w:fill="auto"/>
          </w:tcPr>
          <w:p w:rsidR="00E8351D" w:rsidRDefault="00E8351D">
            <w:pPr>
              <w:widowControl w:val="0"/>
              <w:spacing w:after="0" w:line="240" w:lineRule="auto"/>
              <w:rPr>
                <w:rFonts w:ascii="Arial" w:hAnsi="Arial" w:cs="Arial"/>
                <w:color w:val="000000"/>
                <w:sz w:val="20"/>
                <w:szCs w:val="20"/>
              </w:rPr>
            </w:pPr>
          </w:p>
        </w:tc>
        <w:tc>
          <w:tcPr>
            <w:tcW w:w="6998" w:type="dxa"/>
            <w:shd w:val="clear" w:color="auto" w:fill="auto"/>
          </w:tcPr>
          <w:p w:rsidR="00E8351D" w:rsidRDefault="00E8351D">
            <w:pPr>
              <w:widowControl w:val="0"/>
              <w:spacing w:after="0" w:line="240" w:lineRule="auto"/>
              <w:rPr>
                <w:rFonts w:ascii="Arial" w:hAnsi="Arial" w:cs="Arial"/>
                <w:color w:val="000000"/>
                <w:sz w:val="20"/>
                <w:szCs w:val="20"/>
              </w:rPr>
            </w:pPr>
          </w:p>
        </w:tc>
        <w:tc>
          <w:tcPr>
            <w:tcW w:w="1002" w:type="dxa"/>
            <w:shd w:val="clear" w:color="auto" w:fill="auto"/>
            <w:vAlign w:val="bottom"/>
          </w:tcPr>
          <w:p w:rsidR="00E8351D" w:rsidRDefault="00E8351D">
            <w:pPr>
              <w:widowControl w:val="0"/>
              <w:spacing w:after="0" w:line="240" w:lineRule="auto"/>
              <w:jc w:val="right"/>
              <w:rPr>
                <w:rFonts w:ascii="Arial" w:hAnsi="Arial" w:cs="Arial"/>
                <w:color w:val="000000"/>
                <w:sz w:val="20"/>
                <w:szCs w:val="20"/>
              </w:rPr>
            </w:pPr>
          </w:p>
        </w:tc>
      </w:tr>
      <w:tr w:rsidR="00E8351D">
        <w:tc>
          <w:tcPr>
            <w:tcW w:w="1500" w:type="dxa"/>
            <w:shd w:val="clear" w:color="auto" w:fill="auto"/>
          </w:tcPr>
          <w:p w:rsidR="00E8351D" w:rsidRDefault="00E8351D">
            <w:pPr>
              <w:widowControl w:val="0"/>
              <w:spacing w:after="0" w:line="240" w:lineRule="auto"/>
              <w:rPr>
                <w:rFonts w:ascii="Arial" w:hAnsi="Arial" w:cs="Arial"/>
                <w:color w:val="000000"/>
                <w:sz w:val="20"/>
                <w:szCs w:val="20"/>
              </w:rPr>
            </w:pP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PREMESSA</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2</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1</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ANALISI DELLE ENTRATE</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4</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1.1</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Analisi per titoli</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4</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1.2</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Analisi delle voci più significative del titolo 1^</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6</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1.3</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Analisi delle voci di entrata più significative </w:t>
            </w:r>
            <w:r>
              <w:rPr>
                <w:rFonts w:ascii="Arial" w:hAnsi="Arial" w:cs="Arial"/>
                <w:color w:val="000000"/>
                <w:sz w:val="20"/>
                <w:szCs w:val="20"/>
              </w:rPr>
              <w:t>del titolo 2^</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9</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1.4</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Analisi delle voci di entrata più significative del titolo 3^</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10</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1.5</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Analisi delle voci più significative di entrata del titolo 4^</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10</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ANALISI DELLE SPESE</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15</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2.1</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Titolo 1^ Spese correnti</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15</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2.1.1</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Il </w:t>
            </w:r>
            <w:r>
              <w:rPr>
                <w:rFonts w:ascii="Arial" w:hAnsi="Arial" w:cs="Arial"/>
                <w:color w:val="000000"/>
                <w:sz w:val="20"/>
                <w:szCs w:val="20"/>
              </w:rPr>
              <w:t>contenimento delle spese ed il rispetto dei limiti di legge</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16</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2.1.2</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Accantonamenti per crediti di dubbia esigibilità</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17</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2.1.3</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Interventi programmati per spese di investimento</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19</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2.2</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Titolo 2^ Spese in conto capitale</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21</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2.2.1</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Il p</w:t>
            </w:r>
            <w:r>
              <w:rPr>
                <w:rFonts w:ascii="Arial" w:hAnsi="Arial" w:cs="Arial"/>
                <w:color w:val="000000"/>
                <w:sz w:val="20"/>
                <w:szCs w:val="20"/>
              </w:rPr>
              <w:t>rogramma triennale degli investimenti</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21</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2.3</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Titolo 3^ Spese per incremento di attività finanziarie</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21</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3</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ANALISI DELL'APPLICAZIONE DELL'AVANZO/DISAVANZO D'AMMINISTRAZIONE PRESUNTO</w:t>
            </w:r>
          </w:p>
          <w:p w:rsidR="00E8351D" w:rsidRDefault="00E8351D">
            <w:pPr>
              <w:widowControl w:val="0"/>
              <w:spacing w:after="0" w:line="240" w:lineRule="auto"/>
              <w:rPr>
                <w:rFonts w:ascii="Arial" w:hAnsi="Arial" w:cs="Arial"/>
                <w:color w:val="000000"/>
                <w:sz w:val="20"/>
                <w:szCs w:val="20"/>
              </w:rPr>
            </w:pP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24</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4</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IL RISPETTO DEL PAREGGIO DI BILANCIO</w:t>
            </w:r>
          </w:p>
        </w:tc>
        <w:tc>
          <w:tcPr>
            <w:tcW w:w="1002" w:type="dxa"/>
            <w:shd w:val="clear" w:color="auto" w:fill="auto"/>
            <w:vAlign w:val="bottom"/>
          </w:tcPr>
          <w:p w:rsidR="00E8351D" w:rsidRDefault="00E8351D">
            <w:pPr>
              <w:widowControl w:val="0"/>
              <w:spacing w:after="0" w:line="240" w:lineRule="auto"/>
              <w:jc w:val="right"/>
              <w:rPr>
                <w:rFonts w:ascii="Arial" w:hAnsi="Arial" w:cs="Arial"/>
                <w:color w:val="000000"/>
                <w:sz w:val="20"/>
                <w:szCs w:val="20"/>
              </w:rPr>
            </w:pP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4.1</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Il nuovo vincolo </w:t>
            </w:r>
            <w:r>
              <w:rPr>
                <w:rFonts w:ascii="Arial" w:hAnsi="Arial" w:cs="Arial"/>
                <w:color w:val="000000"/>
                <w:sz w:val="20"/>
                <w:szCs w:val="20"/>
              </w:rPr>
              <w:t>di finanza pubblica: il principio del pareggio di bilancio</w:t>
            </w: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28</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 xml:space="preserve">  5</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ORGANISMI STRUMENTALI E PARTECIPAZIONI</w:t>
            </w:r>
          </w:p>
          <w:p w:rsidR="00E8351D" w:rsidRDefault="00E8351D">
            <w:pPr>
              <w:widowControl w:val="0"/>
              <w:spacing w:after="0" w:line="240" w:lineRule="auto"/>
              <w:rPr>
                <w:rFonts w:ascii="Arial" w:hAnsi="Arial" w:cs="Arial"/>
                <w:color w:val="000000"/>
                <w:sz w:val="20"/>
                <w:szCs w:val="20"/>
              </w:rPr>
            </w:pPr>
          </w:p>
        </w:tc>
        <w:tc>
          <w:tcPr>
            <w:tcW w:w="1002" w:type="dxa"/>
            <w:shd w:val="clear" w:color="auto" w:fill="auto"/>
            <w:vAlign w:val="bottom"/>
          </w:tcPr>
          <w:p w:rsidR="00E8351D" w:rsidRDefault="00872F84">
            <w:pPr>
              <w:widowControl w:val="0"/>
              <w:spacing w:after="0" w:line="240" w:lineRule="auto"/>
              <w:jc w:val="right"/>
              <w:rPr>
                <w:rFonts w:ascii="Arial" w:hAnsi="Arial" w:cs="Arial"/>
                <w:color w:val="000000"/>
                <w:sz w:val="20"/>
                <w:szCs w:val="20"/>
              </w:rPr>
            </w:pPr>
            <w:r>
              <w:rPr>
                <w:rFonts w:ascii="Arial" w:hAnsi="Arial" w:cs="Arial"/>
                <w:color w:val="000000"/>
                <w:sz w:val="20"/>
                <w:szCs w:val="20"/>
              </w:rPr>
              <w:t>31</w:t>
            </w:r>
          </w:p>
        </w:tc>
      </w:tr>
      <w:tr w:rsidR="00E8351D">
        <w:tc>
          <w:tcPr>
            <w:tcW w:w="1500"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5.1</w:t>
            </w:r>
          </w:p>
        </w:tc>
        <w:tc>
          <w:tcPr>
            <w:tcW w:w="6998" w:type="dxa"/>
            <w:shd w:val="clear" w:color="auto" w:fill="auto"/>
          </w:tcPr>
          <w:p w:rsidR="00E8351D" w:rsidRDefault="00872F84">
            <w:pPr>
              <w:widowControl w:val="0"/>
              <w:spacing w:after="0" w:line="240" w:lineRule="auto"/>
              <w:rPr>
                <w:rFonts w:ascii="Arial" w:hAnsi="Arial" w:cs="Arial"/>
                <w:color w:val="000000"/>
                <w:sz w:val="20"/>
                <w:szCs w:val="20"/>
              </w:rPr>
            </w:pPr>
            <w:r>
              <w:rPr>
                <w:rFonts w:ascii="Arial" w:hAnsi="Arial" w:cs="Arial"/>
                <w:color w:val="000000"/>
                <w:sz w:val="20"/>
                <w:szCs w:val="20"/>
              </w:rPr>
              <w:t>Enti ed organismi strumentali</w:t>
            </w:r>
          </w:p>
        </w:tc>
        <w:tc>
          <w:tcPr>
            <w:tcW w:w="1002" w:type="dxa"/>
            <w:shd w:val="clear" w:color="auto" w:fill="auto"/>
            <w:vAlign w:val="bottom"/>
          </w:tcPr>
          <w:p w:rsidR="00E8351D" w:rsidRDefault="00E8351D">
            <w:pPr>
              <w:widowControl w:val="0"/>
              <w:spacing w:after="0" w:line="240" w:lineRule="auto"/>
              <w:jc w:val="right"/>
              <w:rPr>
                <w:rFonts w:ascii="Arial" w:hAnsi="Arial" w:cs="Arial"/>
                <w:color w:val="000000"/>
                <w:sz w:val="20"/>
                <w:szCs w:val="20"/>
              </w:rPr>
            </w:pPr>
          </w:p>
        </w:tc>
      </w:tr>
      <w:tr w:rsidR="00E8351D">
        <w:tc>
          <w:tcPr>
            <w:tcW w:w="1500" w:type="dxa"/>
            <w:shd w:val="clear" w:color="auto" w:fill="auto"/>
          </w:tcPr>
          <w:p w:rsidR="00E8351D" w:rsidRDefault="00E8351D">
            <w:pPr>
              <w:widowControl w:val="0"/>
              <w:spacing w:after="0" w:line="240" w:lineRule="auto"/>
              <w:rPr>
                <w:rFonts w:ascii="Arial" w:hAnsi="Arial" w:cs="Arial"/>
                <w:color w:val="000000"/>
                <w:sz w:val="20"/>
                <w:szCs w:val="20"/>
              </w:rPr>
            </w:pPr>
          </w:p>
        </w:tc>
        <w:tc>
          <w:tcPr>
            <w:tcW w:w="6998" w:type="dxa"/>
            <w:shd w:val="clear" w:color="auto" w:fill="auto"/>
          </w:tcPr>
          <w:p w:rsidR="00E8351D" w:rsidRDefault="00E8351D">
            <w:pPr>
              <w:widowControl w:val="0"/>
              <w:spacing w:after="0" w:line="240" w:lineRule="auto"/>
              <w:rPr>
                <w:rFonts w:ascii="Arial" w:hAnsi="Arial" w:cs="Arial"/>
                <w:color w:val="000000"/>
                <w:sz w:val="20"/>
                <w:szCs w:val="20"/>
              </w:rPr>
            </w:pPr>
          </w:p>
        </w:tc>
        <w:tc>
          <w:tcPr>
            <w:tcW w:w="1002" w:type="dxa"/>
            <w:shd w:val="clear" w:color="auto" w:fill="auto"/>
            <w:vAlign w:val="bottom"/>
          </w:tcPr>
          <w:p w:rsidR="00E8351D" w:rsidRDefault="00E8351D">
            <w:pPr>
              <w:widowControl w:val="0"/>
              <w:spacing w:after="0" w:line="240" w:lineRule="auto"/>
              <w:rPr>
                <w:rFonts w:ascii="Arial" w:hAnsi="Arial" w:cs="Arial"/>
                <w:color w:val="000000"/>
                <w:sz w:val="20"/>
                <w:szCs w:val="20"/>
              </w:rPr>
            </w:pPr>
          </w:p>
        </w:tc>
      </w:tr>
    </w:tbl>
    <w:p w:rsidR="00E8351D" w:rsidRDefault="00E8351D">
      <w:pPr>
        <w:widowControl w:val="0"/>
        <w:spacing w:after="0" w:line="240" w:lineRule="auto"/>
        <w:jc w:val="both"/>
        <w:rPr>
          <w:rFonts w:ascii="Arial" w:hAnsi="Arial" w:cs="Arial"/>
          <w:color w:val="000000"/>
          <w:sz w:val="20"/>
          <w:szCs w:val="20"/>
        </w:rPr>
      </w:pPr>
    </w:p>
    <w:p w:rsidR="00E8351D" w:rsidRDefault="00E8351D"/>
    <w:sectPr w:rsidR="00E8351D">
      <w:headerReference w:type="default" r:id="rId14"/>
      <w:footerReference w:type="default" r:id="rId15"/>
      <w:headerReference w:type="first" r:id="rId16"/>
      <w:footerReference w:type="first" r:id="rId17"/>
      <w:pgSz w:w="12000" w:h="16500"/>
      <w:pgMar w:top="1191" w:right="567" w:bottom="1134" w:left="1021" w:header="567" w:footer="567" w:gutter="0"/>
      <w:cols w:space="720"/>
      <w:formProt w:val="0"/>
      <w:titlePg/>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72F84">
      <w:pPr>
        <w:spacing w:after="0" w:line="240" w:lineRule="auto"/>
      </w:pPr>
      <w:r>
        <w:separator/>
      </w:r>
    </w:p>
  </w:endnote>
  <w:endnote w:type="continuationSeparator" w:id="0">
    <w:p w:rsidR="00000000" w:rsidRDefault="00872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Futura Medium">
    <w:charset w:val="00"/>
    <w:family w:val="roman"/>
    <w:pitch w:val="variable"/>
  </w:font>
  <w:font w:name="Prestige 10cpi">
    <w:charset w:val="00"/>
    <w:family w:val="roman"/>
    <w:pitch w:val="variable"/>
  </w:font>
  <w:font w:name="Caladea">
    <w:altName w:val="Cambria"/>
    <w:panose1 w:val="02040503050406030204"/>
    <w:charset w:val="00"/>
    <w:family w:val="roman"/>
    <w:pitch w:val="variable"/>
    <w:sig w:usb0="00000007" w:usb1="00000000" w:usb2="00000000" w:usb3="00000000" w:csb0="00000093" w:csb1="00000000"/>
  </w:font>
  <w:font w:name="Garamond">
    <w:panose1 w:val="02020502050306020203"/>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51D" w:rsidRDefault="00872F84">
    <w:pPr>
      <w:pStyle w:val="Normal"/>
      <w:pBdr>
        <w:top w:val="single" w:sz="6" w:space="0" w:color="00000A"/>
      </w:pBdr>
      <w:rPr>
        <w:i/>
        <w:iCs/>
        <w:sz w:val="18"/>
        <w:szCs w:val="18"/>
      </w:rPr>
    </w:pPr>
    <w:r>
      <w:rPr>
        <w:i/>
        <w:iCs/>
        <w:sz w:val="18"/>
        <w:szCs w:val="18"/>
      </w:rPr>
      <w:t xml:space="preserve">Nota </w:t>
    </w:r>
    <w:r>
      <w:rPr>
        <w:i/>
        <w:iCs/>
        <w:sz w:val="18"/>
        <w:szCs w:val="18"/>
      </w:rPr>
      <w:t>Integrativa al Bilancio annuale di previsione 2017</w:t>
    </w:r>
  </w:p>
  <w:p w:rsidR="00E8351D" w:rsidRDefault="00872F84">
    <w:pPr>
      <w:pStyle w:val="Normal"/>
      <w:jc w:val="right"/>
    </w:pPr>
    <w:r>
      <w:fldChar w:fldCharType="begin"/>
    </w:r>
    <w:r>
      <w:instrText>PAGE</w:instrText>
    </w:r>
    <w:r>
      <w:fldChar w:fldCharType="separate"/>
    </w:r>
    <w:r>
      <w:rPr>
        <w:noProof/>
      </w:rPr>
      <w:t>8</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51D" w:rsidRDefault="00872F84">
    <w:pPr>
      <w:pStyle w:val="Normal"/>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72F84">
      <w:pPr>
        <w:spacing w:after="0" w:line="240" w:lineRule="auto"/>
      </w:pPr>
      <w:r>
        <w:separator/>
      </w:r>
    </w:p>
  </w:footnote>
  <w:footnote w:type="continuationSeparator" w:id="0">
    <w:p w:rsidR="00000000" w:rsidRDefault="00872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51D" w:rsidRDefault="00872F84">
    <w:pPr>
      <w:pStyle w:val="Normal"/>
      <w:jc w:val="right"/>
    </w:pPr>
    <w:r>
      <w:t xml:space="preserve"> Comune di ANDRIA (BT)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51D" w:rsidRDefault="00872F84">
    <w:pPr>
      <w:pStyle w:val="Normal"/>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195"/>
    <w:multiLevelType w:val="multilevel"/>
    <w:tmpl w:val="CF129E06"/>
    <w:lvl w:ilvl="0">
      <w:start w:val="1"/>
      <w:numFmt w:val="decimal"/>
      <w:lvlText w:val="%1."/>
      <w:lvlJc w:val="left"/>
      <w:pPr>
        <w:ind w:left="576" w:hanging="576"/>
      </w:pPr>
    </w:lvl>
    <w:lvl w:ilvl="1">
      <w:start w:val="1"/>
      <w:numFmt w:val="decimal"/>
      <w:lvlText w:val="%1.%2"/>
      <w:lvlJc w:val="left"/>
      <w:pPr>
        <w:ind w:left="576" w:hanging="576"/>
      </w:pPr>
    </w:lvl>
    <w:lvl w:ilvl="2">
      <w:start w:val="1"/>
      <w:numFmt w:val="decimal"/>
      <w:lvlText w:val="%1.%2.%3"/>
      <w:lvlJc w:val="left"/>
      <w:pPr>
        <w:ind w:left="936" w:hanging="576"/>
      </w:pPr>
    </w:lvl>
    <w:lvl w:ilvl="3">
      <w:start w:val="1"/>
      <w:numFmt w:val="decimal"/>
      <w:lvlText w:val="%1.%2.%3.%4"/>
      <w:lvlJc w:val="left"/>
      <w:pPr>
        <w:ind w:left="1296" w:hanging="576"/>
      </w:pPr>
    </w:lvl>
    <w:lvl w:ilvl="4">
      <w:start w:val="1"/>
      <w:numFmt w:val="decimal"/>
      <w:lvlText w:val="%1.%2.%3.%4.%5"/>
      <w:lvlJc w:val="left"/>
      <w:pPr>
        <w:ind w:left="1656" w:hanging="576"/>
      </w:pPr>
    </w:lvl>
    <w:lvl w:ilvl="5">
      <w:start w:val="1"/>
      <w:numFmt w:val="decimal"/>
      <w:lvlText w:val="%1.%2.%3.%4.%5.%6"/>
      <w:lvlJc w:val="left"/>
      <w:pPr>
        <w:ind w:left="2016" w:hanging="576"/>
      </w:pPr>
    </w:lvl>
    <w:lvl w:ilvl="6">
      <w:start w:val="1"/>
      <w:numFmt w:val="decimal"/>
      <w:lvlText w:val="%1.%2.%3.%4.%5.%6.%7"/>
      <w:lvlJc w:val="left"/>
      <w:pPr>
        <w:ind w:left="2376" w:hanging="576"/>
      </w:pPr>
    </w:lvl>
    <w:lvl w:ilvl="7">
      <w:start w:val="1"/>
      <w:numFmt w:val="decimal"/>
      <w:lvlText w:val="%1.%2.%3.%4.%5.%6.%7.%8"/>
      <w:lvlJc w:val="left"/>
      <w:pPr>
        <w:ind w:left="2736" w:hanging="576"/>
      </w:pPr>
    </w:lvl>
    <w:lvl w:ilvl="8">
      <w:start w:val="1"/>
      <w:numFmt w:val="decimal"/>
      <w:lvlText w:val="%1.%2.%3.%4.%5.%6.%7.%8.%9"/>
      <w:lvlJc w:val="left"/>
      <w:pPr>
        <w:ind w:left="3096" w:hanging="576"/>
      </w:pPr>
    </w:lvl>
  </w:abstractNum>
  <w:abstractNum w:abstractNumId="1" w15:restartNumberingAfterBreak="0">
    <w:nsid w:val="3AFC0D18"/>
    <w:multiLevelType w:val="multilevel"/>
    <w:tmpl w:val="0908F3B4"/>
    <w:lvl w:ilvl="0">
      <w:start w:val="1"/>
      <w:numFmt w:val="none"/>
      <w:suff w:val="nothing"/>
      <w:lvlText w:val=""/>
      <w:lvlJc w:val="left"/>
      <w:pPr>
        <w:ind w:left="0" w:firstLine="0"/>
      </w:pPr>
    </w:lvl>
    <w:lvl w:ilvl="1">
      <w:start w:val="1"/>
      <w:numFmt w:val="decimal"/>
      <w:pStyle w:val="Titolo2"/>
      <w:lvlText w:val="%2"/>
      <w:lvlJc w:val="left"/>
      <w:pPr>
        <w:ind w:left="576" w:hanging="576"/>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D765E92"/>
    <w:multiLevelType w:val="multilevel"/>
    <w:tmpl w:val="AA24CC30"/>
    <w:lvl w:ilvl="0">
      <w:start w:val="1"/>
      <w:numFmt w:val="bullet"/>
      <w:lvlText w:val=""/>
      <w:lvlJc w:val="left"/>
      <w:pPr>
        <w:ind w:left="1853" w:hanging="360"/>
      </w:pPr>
      <w:rPr>
        <w:rFonts w:ascii="Symbol" w:hAnsi="Symbol" w:cs="Symbol" w:hint="default"/>
        <w:b w:val="0"/>
        <w:bCs w:val="0"/>
        <w:i w:val="0"/>
        <w:iCs w:val="0"/>
        <w:strike w:val="0"/>
        <w:dstrike w:val="0"/>
        <w:color w:val="00000A"/>
        <w:sz w:val="22"/>
        <w:szCs w:val="22"/>
        <w:u w:val="none"/>
      </w:rPr>
    </w:lvl>
    <w:lvl w:ilvl="1">
      <w:start w:val="1"/>
      <w:numFmt w:val="lowerLetter"/>
      <w:lvlText w:val="%2."/>
      <w:lvlJc w:val="left"/>
      <w:pPr>
        <w:ind w:left="1663" w:hanging="360"/>
      </w:pPr>
      <w:rPr>
        <w:rFonts w:ascii="Arial" w:hAnsi="Arial" w:cs="Arial"/>
        <w:b w:val="0"/>
        <w:bCs w:val="0"/>
        <w:i w:val="0"/>
        <w:iCs w:val="0"/>
        <w:strike w:val="0"/>
        <w:dstrike w:val="0"/>
        <w:color w:val="00000A"/>
        <w:sz w:val="22"/>
        <w:szCs w:val="22"/>
        <w:u w:val="none"/>
      </w:rPr>
    </w:lvl>
    <w:lvl w:ilvl="2">
      <w:start w:val="1"/>
      <w:numFmt w:val="lowerLetter"/>
      <w:lvlText w:val="%3."/>
      <w:lvlJc w:val="left"/>
      <w:pPr>
        <w:ind w:left="2023" w:hanging="360"/>
      </w:pPr>
      <w:rPr>
        <w:rFonts w:cs="Arial"/>
        <w:b w:val="0"/>
        <w:bCs w:val="0"/>
        <w:i w:val="0"/>
        <w:iCs w:val="0"/>
        <w:strike w:val="0"/>
        <w:dstrike w:val="0"/>
        <w:color w:val="00000A"/>
        <w:sz w:val="22"/>
        <w:szCs w:val="22"/>
        <w:u w:val="none"/>
      </w:rPr>
    </w:lvl>
    <w:lvl w:ilvl="3">
      <w:start w:val="1"/>
      <w:numFmt w:val="lowerLetter"/>
      <w:lvlText w:val="%4."/>
      <w:lvlJc w:val="left"/>
      <w:pPr>
        <w:ind w:left="2383" w:hanging="360"/>
      </w:pPr>
      <w:rPr>
        <w:rFonts w:cs="Arial"/>
        <w:b w:val="0"/>
        <w:bCs w:val="0"/>
        <w:i w:val="0"/>
        <w:iCs w:val="0"/>
        <w:strike w:val="0"/>
        <w:dstrike w:val="0"/>
        <w:color w:val="00000A"/>
        <w:sz w:val="22"/>
        <w:szCs w:val="22"/>
        <w:u w:val="none"/>
      </w:rPr>
    </w:lvl>
    <w:lvl w:ilvl="4">
      <w:start w:val="1"/>
      <w:numFmt w:val="lowerLetter"/>
      <w:lvlText w:val="%5."/>
      <w:lvlJc w:val="left"/>
      <w:pPr>
        <w:ind w:left="2743" w:hanging="360"/>
      </w:pPr>
      <w:rPr>
        <w:rFonts w:cs="Arial"/>
        <w:b w:val="0"/>
        <w:bCs w:val="0"/>
        <w:i w:val="0"/>
        <w:iCs w:val="0"/>
        <w:strike w:val="0"/>
        <w:dstrike w:val="0"/>
        <w:color w:val="00000A"/>
        <w:sz w:val="22"/>
        <w:szCs w:val="22"/>
        <w:u w:val="none"/>
      </w:rPr>
    </w:lvl>
    <w:lvl w:ilvl="5">
      <w:start w:val="1"/>
      <w:numFmt w:val="lowerLetter"/>
      <w:lvlText w:val="%6."/>
      <w:lvlJc w:val="left"/>
      <w:pPr>
        <w:ind w:left="3103" w:hanging="360"/>
      </w:pPr>
      <w:rPr>
        <w:rFonts w:cs="Arial"/>
        <w:b w:val="0"/>
        <w:bCs w:val="0"/>
        <w:i w:val="0"/>
        <w:iCs w:val="0"/>
        <w:strike w:val="0"/>
        <w:dstrike w:val="0"/>
        <w:color w:val="00000A"/>
        <w:sz w:val="22"/>
        <w:szCs w:val="22"/>
        <w:u w:val="none"/>
      </w:rPr>
    </w:lvl>
    <w:lvl w:ilvl="6">
      <w:start w:val="1"/>
      <w:numFmt w:val="lowerLetter"/>
      <w:lvlText w:val="%7."/>
      <w:lvlJc w:val="left"/>
      <w:pPr>
        <w:ind w:left="3463" w:hanging="360"/>
      </w:pPr>
      <w:rPr>
        <w:rFonts w:cs="Arial"/>
        <w:b w:val="0"/>
        <w:bCs w:val="0"/>
        <w:i w:val="0"/>
        <w:iCs w:val="0"/>
        <w:strike w:val="0"/>
        <w:dstrike w:val="0"/>
        <w:color w:val="00000A"/>
        <w:sz w:val="22"/>
        <w:szCs w:val="22"/>
        <w:u w:val="none"/>
      </w:rPr>
    </w:lvl>
    <w:lvl w:ilvl="7">
      <w:start w:val="1"/>
      <w:numFmt w:val="lowerLetter"/>
      <w:lvlText w:val="%8."/>
      <w:lvlJc w:val="left"/>
      <w:pPr>
        <w:ind w:left="3823" w:hanging="360"/>
      </w:pPr>
      <w:rPr>
        <w:rFonts w:cs="Arial"/>
        <w:b w:val="0"/>
        <w:bCs w:val="0"/>
        <w:i w:val="0"/>
        <w:iCs w:val="0"/>
        <w:strike w:val="0"/>
        <w:dstrike w:val="0"/>
        <w:color w:val="00000A"/>
        <w:sz w:val="22"/>
        <w:szCs w:val="22"/>
        <w:u w:val="none"/>
      </w:rPr>
    </w:lvl>
    <w:lvl w:ilvl="8">
      <w:start w:val="1"/>
      <w:numFmt w:val="lowerLetter"/>
      <w:lvlText w:val="%9."/>
      <w:lvlJc w:val="left"/>
      <w:pPr>
        <w:ind w:left="4183" w:hanging="360"/>
      </w:pPr>
      <w:rPr>
        <w:rFonts w:cs="Arial"/>
        <w:b w:val="0"/>
        <w:bCs w:val="0"/>
        <w:i w:val="0"/>
        <w:iCs w:val="0"/>
        <w:strike w:val="0"/>
        <w:dstrike w:val="0"/>
        <w:color w:val="00000A"/>
        <w:sz w:val="22"/>
        <w:szCs w:val="22"/>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51D"/>
    <w:rsid w:val="00872F84"/>
    <w:rsid w:val="00E8351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6013"/>
  <w15:docId w15:val="{A214B315-B4D2-45E0-AF7C-F9A5E5F13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it-IT"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pPr>
      <w:spacing w:after="160" w:line="259" w:lineRule="auto"/>
    </w:pPr>
    <w:rPr>
      <w:color w:val="00000A"/>
      <w:sz w:val="22"/>
    </w:rPr>
  </w:style>
  <w:style w:type="paragraph" w:styleId="Titolo1">
    <w:name w:val="heading 1"/>
    <w:basedOn w:val="Normale"/>
    <w:link w:val="Titolo1Carattere"/>
    <w:uiPriority w:val="99"/>
    <w:qFormat/>
    <w:rsid w:val="009A64F5"/>
    <w:pPr>
      <w:widowControl w:val="0"/>
      <w:spacing w:after="0" w:line="240" w:lineRule="auto"/>
      <w:outlineLvl w:val="0"/>
    </w:pPr>
    <w:rPr>
      <w:rFonts w:ascii="Times New Roman" w:hAnsi="Times New Roman" w:cs="Times New Roman"/>
      <w:i/>
      <w:iCs/>
      <w:sz w:val="24"/>
      <w:szCs w:val="24"/>
    </w:rPr>
  </w:style>
  <w:style w:type="paragraph" w:styleId="Titolo2">
    <w:name w:val="heading 2"/>
    <w:basedOn w:val="Titolo"/>
    <w:link w:val="Titolo2Carattere"/>
    <w:uiPriority w:val="99"/>
    <w:qFormat/>
    <w:rsid w:val="009A64F5"/>
    <w:pPr>
      <w:widowControl w:val="0"/>
      <w:numPr>
        <w:ilvl w:val="1"/>
        <w:numId w:val="1"/>
      </w:numPr>
      <w:outlineLvl w:val="1"/>
    </w:pPr>
    <w:rPr>
      <w:rFonts w:asciiTheme="minorHAnsi" w:eastAsiaTheme="minorHAnsi" w:hAnsiTheme="minorHAnsi" w:cstheme="minorBidi"/>
      <w:b/>
      <w:bCs/>
      <w:sz w:val="22"/>
      <w:szCs w:val="22"/>
    </w:rPr>
  </w:style>
  <w:style w:type="paragraph" w:styleId="Titolo3">
    <w:name w:val="heading 3"/>
    <w:basedOn w:val="Normale"/>
    <w:link w:val="Titolo3Carattere"/>
    <w:uiPriority w:val="99"/>
    <w:qFormat/>
    <w:rsid w:val="009A64F5"/>
    <w:pPr>
      <w:widowControl w:val="0"/>
      <w:spacing w:after="0" w:line="240" w:lineRule="auto"/>
      <w:jc w:val="both"/>
      <w:outlineLvl w:val="2"/>
    </w:pPr>
    <w:rPr>
      <w:rFonts w:ascii="Times New Roman" w:hAnsi="Times New Roman" w:cs="Times New Roman"/>
      <w:b/>
      <w:bCs/>
      <w:color w:val="33390B"/>
      <w:sz w:val="24"/>
      <w:szCs w:val="24"/>
    </w:rPr>
  </w:style>
  <w:style w:type="paragraph" w:styleId="Titolo4">
    <w:name w:val="heading 4"/>
    <w:basedOn w:val="Normale"/>
    <w:link w:val="Titolo4Carattere"/>
    <w:uiPriority w:val="99"/>
    <w:qFormat/>
    <w:rsid w:val="009A64F5"/>
    <w:pPr>
      <w:widowControl w:val="0"/>
      <w:spacing w:after="0" w:line="240" w:lineRule="auto"/>
      <w:jc w:val="both"/>
      <w:outlineLvl w:val="3"/>
    </w:pPr>
    <w:rPr>
      <w:rFonts w:ascii="Times New Roman" w:hAnsi="Times New Roman" w:cs="Times New Roman"/>
      <w:i/>
      <w:iCs/>
      <w:color w:val="33390B"/>
      <w:sz w:val="24"/>
      <w:szCs w:val="24"/>
    </w:rPr>
  </w:style>
  <w:style w:type="paragraph" w:styleId="Titolo5">
    <w:name w:val="heading 5"/>
    <w:basedOn w:val="Normale"/>
    <w:link w:val="Titolo5Carattere"/>
    <w:uiPriority w:val="99"/>
    <w:qFormat/>
    <w:rsid w:val="009A64F5"/>
    <w:pPr>
      <w:widowControl w:val="0"/>
      <w:spacing w:after="0" w:line="240" w:lineRule="auto"/>
      <w:jc w:val="both"/>
      <w:outlineLvl w:val="4"/>
    </w:pPr>
    <w:rPr>
      <w:rFonts w:ascii="Times New Roman" w:hAnsi="Times New Roman" w:cs="Times New Roman"/>
      <w:i/>
      <w:iCs/>
      <w:color w:val="33390B"/>
      <w:sz w:val="24"/>
      <w:szCs w:val="24"/>
      <w:u w:val="single"/>
    </w:rPr>
  </w:style>
  <w:style w:type="paragraph" w:styleId="Titolo7">
    <w:name w:val="heading 7"/>
    <w:basedOn w:val="Normale"/>
    <w:link w:val="Titolo7Carattere"/>
    <w:uiPriority w:val="9"/>
    <w:semiHidden/>
    <w:unhideWhenUsed/>
    <w:qFormat/>
    <w:rsid w:val="0077037F"/>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olo9">
    <w:name w:val="heading 9"/>
    <w:basedOn w:val="Normale"/>
    <w:link w:val="Titolo9Carattere"/>
    <w:uiPriority w:val="9"/>
    <w:semiHidden/>
    <w:unhideWhenUsed/>
    <w:qFormat/>
    <w:rsid w:val="007703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qFormat/>
    <w:rsid w:val="009A64F5"/>
    <w:rPr>
      <w:rFonts w:ascii="Times New Roman" w:hAnsi="Times New Roman" w:cs="Times New Roman"/>
      <w:i/>
      <w:iCs/>
      <w:sz w:val="24"/>
      <w:szCs w:val="24"/>
    </w:rPr>
  </w:style>
  <w:style w:type="character" w:customStyle="1" w:styleId="Titolo2Carattere">
    <w:name w:val="Titolo 2 Carattere"/>
    <w:basedOn w:val="Carpredefinitoparagrafo"/>
    <w:link w:val="Titolo2"/>
    <w:uiPriority w:val="99"/>
    <w:qFormat/>
    <w:rsid w:val="009A64F5"/>
    <w:rPr>
      <w:rFonts w:ascii="Arial" w:hAnsi="Arial" w:cs="Arial"/>
      <w:b/>
      <w:bCs/>
      <w:sz w:val="24"/>
      <w:szCs w:val="24"/>
    </w:rPr>
  </w:style>
  <w:style w:type="character" w:customStyle="1" w:styleId="Titolo3Carattere">
    <w:name w:val="Titolo 3 Carattere"/>
    <w:basedOn w:val="Carpredefinitoparagrafo"/>
    <w:link w:val="Titolo3"/>
    <w:uiPriority w:val="99"/>
    <w:qFormat/>
    <w:rsid w:val="009A64F5"/>
    <w:rPr>
      <w:rFonts w:ascii="Times New Roman" w:hAnsi="Times New Roman" w:cs="Times New Roman"/>
      <w:b/>
      <w:bCs/>
      <w:color w:val="33390B"/>
      <w:sz w:val="24"/>
      <w:szCs w:val="24"/>
    </w:rPr>
  </w:style>
  <w:style w:type="character" w:customStyle="1" w:styleId="Titolo4Carattere">
    <w:name w:val="Titolo 4 Carattere"/>
    <w:basedOn w:val="Carpredefinitoparagrafo"/>
    <w:link w:val="Titolo4"/>
    <w:uiPriority w:val="99"/>
    <w:qFormat/>
    <w:rsid w:val="009A64F5"/>
    <w:rPr>
      <w:rFonts w:ascii="Times New Roman" w:hAnsi="Times New Roman" w:cs="Times New Roman"/>
      <w:i/>
      <w:iCs/>
      <w:color w:val="33390B"/>
      <w:sz w:val="24"/>
      <w:szCs w:val="24"/>
    </w:rPr>
  </w:style>
  <w:style w:type="character" w:customStyle="1" w:styleId="Titolo5Carattere">
    <w:name w:val="Titolo 5 Carattere"/>
    <w:basedOn w:val="Carpredefinitoparagrafo"/>
    <w:link w:val="Titolo5"/>
    <w:uiPriority w:val="99"/>
    <w:qFormat/>
    <w:rsid w:val="009A64F5"/>
    <w:rPr>
      <w:rFonts w:ascii="Times New Roman" w:hAnsi="Times New Roman" w:cs="Times New Roman"/>
      <w:i/>
      <w:iCs/>
      <w:color w:val="33390B"/>
      <w:sz w:val="24"/>
      <w:szCs w:val="24"/>
      <w:u w:val="single"/>
    </w:rPr>
  </w:style>
  <w:style w:type="character" w:customStyle="1" w:styleId="Rientrocorpodeltesto2Carattere">
    <w:name w:val="Rientro corpo del testo 2 Carattere"/>
    <w:basedOn w:val="Carpredefinitoparagrafo"/>
    <w:link w:val="Rientrocorpodeltesto2"/>
    <w:uiPriority w:val="99"/>
    <w:qFormat/>
    <w:rsid w:val="009A64F5"/>
    <w:rPr>
      <w:rFonts w:ascii="Verdana" w:hAnsi="Verdana" w:cs="Verdana"/>
      <w:sz w:val="18"/>
      <w:szCs w:val="18"/>
    </w:rPr>
  </w:style>
  <w:style w:type="character" w:customStyle="1" w:styleId="CorpotestoCarattere">
    <w:name w:val="Corpo testo Carattere"/>
    <w:basedOn w:val="Carpredefinitoparagrafo"/>
    <w:link w:val="Corpotesto"/>
    <w:uiPriority w:val="99"/>
    <w:qFormat/>
    <w:rsid w:val="009A64F5"/>
    <w:rPr>
      <w:rFonts w:ascii="Times New Roman" w:hAnsi="Times New Roman" w:cs="Times New Roman"/>
      <w:sz w:val="24"/>
      <w:szCs w:val="24"/>
    </w:rPr>
  </w:style>
  <w:style w:type="character" w:customStyle="1" w:styleId="PreformattatoHTMLCarattere">
    <w:name w:val="Preformattato HTML Carattere"/>
    <w:basedOn w:val="Carpredefinitoparagrafo"/>
    <w:link w:val="PreformattatoHTML"/>
    <w:uiPriority w:val="99"/>
    <w:qFormat/>
    <w:rsid w:val="009A64F5"/>
    <w:rPr>
      <w:rFonts w:ascii="Courier New" w:hAnsi="Courier New" w:cs="Courier New"/>
      <w:sz w:val="20"/>
      <w:szCs w:val="20"/>
    </w:rPr>
  </w:style>
  <w:style w:type="character" w:customStyle="1" w:styleId="Corpodeltesto2Carattere">
    <w:name w:val="Corpo del testo 2 Carattere"/>
    <w:basedOn w:val="Carpredefinitoparagrafo"/>
    <w:link w:val="Corpodeltesto2"/>
    <w:uiPriority w:val="99"/>
    <w:qFormat/>
    <w:rsid w:val="009A64F5"/>
    <w:rPr>
      <w:rFonts w:ascii="Arial" w:hAnsi="Arial" w:cs="Arial"/>
      <w:sz w:val="24"/>
      <w:szCs w:val="24"/>
    </w:rPr>
  </w:style>
  <w:style w:type="character" w:customStyle="1" w:styleId="TestonormaleCarattere">
    <w:name w:val="Testo normale Carattere"/>
    <w:basedOn w:val="Carpredefinitoparagrafo"/>
    <w:link w:val="Testonormale"/>
    <w:uiPriority w:val="99"/>
    <w:qFormat/>
    <w:rsid w:val="009A64F5"/>
    <w:rPr>
      <w:rFonts w:ascii="Courier New" w:hAnsi="Courier New" w:cs="Courier New"/>
      <w:sz w:val="20"/>
      <w:szCs w:val="20"/>
    </w:rPr>
  </w:style>
  <w:style w:type="character" w:customStyle="1" w:styleId="Corpodeltesto3Carattere">
    <w:name w:val="Corpo del testo 3 Carattere"/>
    <w:basedOn w:val="Carpredefinitoparagrafo"/>
    <w:link w:val="Corpodeltesto3"/>
    <w:uiPriority w:val="99"/>
    <w:qFormat/>
    <w:rsid w:val="009A64F5"/>
    <w:rPr>
      <w:rFonts w:ascii="Times New Roman" w:hAnsi="Times New Roman" w:cs="Times New Roman"/>
      <w:sz w:val="24"/>
      <w:szCs w:val="24"/>
    </w:rPr>
  </w:style>
  <w:style w:type="character" w:customStyle="1" w:styleId="PidipaginaCarattere">
    <w:name w:val="Piè di pagina Carattere"/>
    <w:basedOn w:val="Carpredefinitoparagrafo"/>
    <w:link w:val="Pidipagina"/>
    <w:uiPriority w:val="99"/>
    <w:qFormat/>
    <w:rsid w:val="009A64F5"/>
    <w:rPr>
      <w:rFonts w:ascii="Times New Roman" w:hAnsi="Times New Roman" w:cs="Times New Roman"/>
      <w:sz w:val="24"/>
      <w:szCs w:val="24"/>
    </w:rPr>
  </w:style>
  <w:style w:type="character" w:customStyle="1" w:styleId="Collegamentoipertestuale9">
    <w:name w:val="Collegamento ipertestuale9"/>
    <w:basedOn w:val="Carpredefinitoparagrafo"/>
    <w:uiPriority w:val="99"/>
    <w:qFormat/>
    <w:rsid w:val="009A64F5"/>
    <w:rPr>
      <w:rFonts w:ascii="Verdana" w:hAnsi="Verdana" w:cs="Verdana"/>
      <w:color w:val="00607F"/>
      <w:u w:val="single"/>
    </w:rPr>
  </w:style>
  <w:style w:type="character" w:customStyle="1" w:styleId="CollegamentoInternet">
    <w:name w:val="Collegamento Internet"/>
    <w:basedOn w:val="Carpredefinitoparagrafo"/>
    <w:uiPriority w:val="99"/>
    <w:rsid w:val="009A64F5"/>
    <w:rPr>
      <w:color w:val="0000FF"/>
      <w:u w:val="single"/>
    </w:rPr>
  </w:style>
  <w:style w:type="character" w:customStyle="1" w:styleId="lilinkmenulista">
    <w:name w:val="lilinkmenulista"/>
    <w:basedOn w:val="Carpredefinitoparagrafo"/>
    <w:uiPriority w:val="99"/>
    <w:qFormat/>
    <w:rsid w:val="009A64F5"/>
  </w:style>
  <w:style w:type="character" w:customStyle="1" w:styleId="apple-converted-space">
    <w:name w:val="apple-converted-space"/>
    <w:basedOn w:val="Carpredefinitoparagrafo"/>
    <w:uiPriority w:val="99"/>
    <w:qFormat/>
    <w:rsid w:val="009A64F5"/>
  </w:style>
  <w:style w:type="character" w:customStyle="1" w:styleId="linkneltesto">
    <w:name w:val="link_nel_testo"/>
    <w:basedOn w:val="Carpredefinitoparagrafo"/>
    <w:uiPriority w:val="99"/>
    <w:qFormat/>
    <w:rsid w:val="009A64F5"/>
  </w:style>
  <w:style w:type="character" w:customStyle="1" w:styleId="testo">
    <w:name w:val="testo"/>
    <w:basedOn w:val="Carpredefinitoparagrafo"/>
    <w:uiPriority w:val="99"/>
    <w:qFormat/>
    <w:rsid w:val="009A64F5"/>
    <w:rPr>
      <w:rFonts w:ascii="Verdana" w:hAnsi="Verdana" w:cs="Verdana"/>
      <w:color w:val="000000"/>
      <w:sz w:val="15"/>
      <w:szCs w:val="15"/>
    </w:rPr>
  </w:style>
  <w:style w:type="character" w:customStyle="1" w:styleId="testoblu">
    <w:name w:val="testoblu"/>
    <w:basedOn w:val="Carpredefinitoparagrafo"/>
    <w:uiPriority w:val="99"/>
    <w:qFormat/>
    <w:rsid w:val="009A64F5"/>
    <w:rPr>
      <w:rFonts w:ascii="Verdana" w:hAnsi="Verdana" w:cs="Verdana"/>
      <w:color w:val="003366"/>
      <w:sz w:val="15"/>
      <w:szCs w:val="15"/>
    </w:rPr>
  </w:style>
  <w:style w:type="character" w:styleId="Numeropagina">
    <w:name w:val="page number"/>
    <w:basedOn w:val="Carpredefinitoparagrafo"/>
    <w:uiPriority w:val="99"/>
    <w:qFormat/>
    <w:rsid w:val="009A64F5"/>
  </w:style>
  <w:style w:type="character" w:customStyle="1" w:styleId="Titolo7Carattere">
    <w:name w:val="Titolo 7 Carattere"/>
    <w:basedOn w:val="Carpredefinitoparagrafo"/>
    <w:link w:val="Titolo7"/>
    <w:uiPriority w:val="9"/>
    <w:semiHidden/>
    <w:qFormat/>
    <w:rsid w:val="0077037F"/>
    <w:rPr>
      <w:rFonts w:asciiTheme="majorHAnsi" w:eastAsiaTheme="majorEastAsia" w:hAnsiTheme="majorHAnsi" w:cstheme="majorBidi"/>
      <w:i/>
      <w:iCs/>
      <w:color w:val="1F3763" w:themeColor="accent1" w:themeShade="7F"/>
    </w:rPr>
  </w:style>
  <w:style w:type="character" w:customStyle="1" w:styleId="Titolo9Carattere">
    <w:name w:val="Titolo 9 Carattere"/>
    <w:basedOn w:val="Carpredefinitoparagrafo"/>
    <w:link w:val="Titolo9"/>
    <w:uiPriority w:val="9"/>
    <w:semiHidden/>
    <w:qFormat/>
    <w:rsid w:val="0077037F"/>
    <w:rPr>
      <w:rFonts w:asciiTheme="majorHAnsi" w:eastAsiaTheme="majorEastAsia" w:hAnsiTheme="majorHAnsi" w:cstheme="majorBidi"/>
      <w:i/>
      <w:iCs/>
      <w:color w:val="272727" w:themeColor="text1" w:themeTint="D8"/>
      <w:sz w:val="21"/>
      <w:szCs w:val="21"/>
    </w:rPr>
  </w:style>
  <w:style w:type="character" w:customStyle="1" w:styleId="TestofumettoCarattere">
    <w:name w:val="Testo fumetto Carattere"/>
    <w:basedOn w:val="Carpredefinitoparagrafo"/>
    <w:link w:val="Testofumetto"/>
    <w:uiPriority w:val="99"/>
    <w:semiHidden/>
    <w:qFormat/>
    <w:rsid w:val="00D4370B"/>
    <w:rPr>
      <w:rFonts w:ascii="Segoe UI" w:hAnsi="Segoe UI" w:cs="Segoe UI"/>
      <w:sz w:val="18"/>
      <w:szCs w:val="18"/>
    </w:rPr>
  </w:style>
  <w:style w:type="character" w:customStyle="1" w:styleId="ListLabel1">
    <w:name w:val="ListLabel 1"/>
    <w:qFormat/>
    <w:rPr>
      <w:rFonts w:cs="Symbol"/>
      <w:b w:val="0"/>
      <w:bCs w:val="0"/>
      <w:i w:val="0"/>
      <w:iCs w:val="0"/>
      <w:strike w:val="0"/>
      <w:dstrike w:val="0"/>
      <w:color w:val="00000A"/>
      <w:sz w:val="22"/>
      <w:szCs w:val="22"/>
      <w:u w:val="none"/>
    </w:rPr>
  </w:style>
  <w:style w:type="character" w:customStyle="1" w:styleId="ListLabel2">
    <w:name w:val="ListLabel 2"/>
    <w:qFormat/>
    <w:rPr>
      <w:rFonts w:ascii="Arial" w:hAnsi="Arial" w:cs="Arial"/>
      <w:b w:val="0"/>
      <w:bCs w:val="0"/>
      <w:i w:val="0"/>
      <w:iCs w:val="0"/>
      <w:strike w:val="0"/>
      <w:dstrike w:val="0"/>
      <w:color w:val="00000A"/>
      <w:sz w:val="22"/>
      <w:szCs w:val="22"/>
      <w:u w:val="none"/>
    </w:rPr>
  </w:style>
  <w:style w:type="character" w:customStyle="1" w:styleId="ListLabel3">
    <w:name w:val="ListLabel 3"/>
    <w:qFormat/>
    <w:rPr>
      <w:rFonts w:cs="Arial"/>
      <w:b w:val="0"/>
      <w:bCs w:val="0"/>
      <w:i w:val="0"/>
      <w:iCs w:val="0"/>
      <w:strike w:val="0"/>
      <w:dstrike w:val="0"/>
      <w:color w:val="00000A"/>
      <w:sz w:val="22"/>
      <w:szCs w:val="22"/>
      <w:u w:val="none"/>
    </w:rPr>
  </w:style>
  <w:style w:type="character" w:customStyle="1" w:styleId="ListLabel4">
    <w:name w:val="ListLabel 4"/>
    <w:qFormat/>
    <w:rPr>
      <w:rFonts w:cs="Arial"/>
      <w:b w:val="0"/>
      <w:bCs w:val="0"/>
      <w:i w:val="0"/>
      <w:iCs w:val="0"/>
      <w:strike w:val="0"/>
      <w:dstrike w:val="0"/>
      <w:color w:val="00000A"/>
      <w:sz w:val="22"/>
      <w:szCs w:val="22"/>
      <w:u w:val="none"/>
    </w:rPr>
  </w:style>
  <w:style w:type="character" w:customStyle="1" w:styleId="ListLabel5">
    <w:name w:val="ListLabel 5"/>
    <w:qFormat/>
    <w:rPr>
      <w:rFonts w:cs="Arial"/>
      <w:b w:val="0"/>
      <w:bCs w:val="0"/>
      <w:i w:val="0"/>
      <w:iCs w:val="0"/>
      <w:strike w:val="0"/>
      <w:dstrike w:val="0"/>
      <w:color w:val="00000A"/>
      <w:sz w:val="22"/>
      <w:szCs w:val="22"/>
      <w:u w:val="none"/>
    </w:rPr>
  </w:style>
  <w:style w:type="character" w:customStyle="1" w:styleId="ListLabel6">
    <w:name w:val="ListLabel 6"/>
    <w:qFormat/>
    <w:rPr>
      <w:rFonts w:cs="Arial"/>
      <w:b w:val="0"/>
      <w:bCs w:val="0"/>
      <w:i w:val="0"/>
      <w:iCs w:val="0"/>
      <w:strike w:val="0"/>
      <w:dstrike w:val="0"/>
      <w:color w:val="00000A"/>
      <w:sz w:val="22"/>
      <w:szCs w:val="22"/>
      <w:u w:val="none"/>
    </w:rPr>
  </w:style>
  <w:style w:type="character" w:customStyle="1" w:styleId="ListLabel7">
    <w:name w:val="ListLabel 7"/>
    <w:qFormat/>
    <w:rPr>
      <w:rFonts w:cs="Arial"/>
      <w:b w:val="0"/>
      <w:bCs w:val="0"/>
      <w:i w:val="0"/>
      <w:iCs w:val="0"/>
      <w:strike w:val="0"/>
      <w:dstrike w:val="0"/>
      <w:color w:val="00000A"/>
      <w:sz w:val="22"/>
      <w:szCs w:val="22"/>
      <w:u w:val="none"/>
    </w:rPr>
  </w:style>
  <w:style w:type="character" w:customStyle="1" w:styleId="ListLabel8">
    <w:name w:val="ListLabel 8"/>
    <w:qFormat/>
    <w:rPr>
      <w:rFonts w:cs="Arial"/>
      <w:b w:val="0"/>
      <w:bCs w:val="0"/>
      <w:i w:val="0"/>
      <w:iCs w:val="0"/>
      <w:strike w:val="0"/>
      <w:dstrike w:val="0"/>
      <w:color w:val="00000A"/>
      <w:sz w:val="22"/>
      <w:szCs w:val="22"/>
      <w:u w:val="none"/>
    </w:rPr>
  </w:style>
  <w:style w:type="character" w:customStyle="1" w:styleId="ListLabel9">
    <w:name w:val="ListLabel 9"/>
    <w:qFormat/>
    <w:rPr>
      <w:rFonts w:cs="Arial"/>
      <w:b w:val="0"/>
      <w:bCs w:val="0"/>
      <w:i w:val="0"/>
      <w:iCs w:val="0"/>
      <w:strike w:val="0"/>
      <w:dstrike w:val="0"/>
      <w:color w:val="00000A"/>
      <w:sz w:val="22"/>
      <w:szCs w:val="22"/>
      <w:u w:val="none"/>
    </w:rPr>
  </w:style>
  <w:style w:type="character" w:customStyle="1" w:styleId="ListLabel10">
    <w:name w:val="ListLabel 10"/>
    <w:qFormat/>
    <w:rPr>
      <w:rFonts w:cs="Symbol"/>
      <w:b w:val="0"/>
      <w:bCs w:val="0"/>
      <w:i w:val="0"/>
      <w:iCs w:val="0"/>
      <w:strike w:val="0"/>
      <w:dstrike w:val="0"/>
      <w:color w:val="00000A"/>
      <w:sz w:val="22"/>
      <w:szCs w:val="22"/>
      <w:u w:val="none"/>
    </w:rPr>
  </w:style>
  <w:style w:type="character" w:customStyle="1" w:styleId="ListLabel11">
    <w:name w:val="ListLabel 11"/>
    <w:qFormat/>
    <w:rPr>
      <w:rFonts w:ascii="Arial" w:hAnsi="Arial" w:cs="Arial"/>
      <w:b w:val="0"/>
      <w:bCs w:val="0"/>
      <w:i w:val="0"/>
      <w:iCs w:val="0"/>
      <w:strike w:val="0"/>
      <w:dstrike w:val="0"/>
      <w:color w:val="00000A"/>
      <w:sz w:val="22"/>
      <w:szCs w:val="22"/>
      <w:u w:val="none"/>
    </w:rPr>
  </w:style>
  <w:style w:type="character" w:customStyle="1" w:styleId="ListLabel12">
    <w:name w:val="ListLabel 12"/>
    <w:qFormat/>
    <w:rPr>
      <w:rFonts w:cs="Arial"/>
      <w:b w:val="0"/>
      <w:bCs w:val="0"/>
      <w:i w:val="0"/>
      <w:iCs w:val="0"/>
      <w:strike w:val="0"/>
      <w:dstrike w:val="0"/>
      <w:color w:val="00000A"/>
      <w:sz w:val="22"/>
      <w:szCs w:val="22"/>
      <w:u w:val="none"/>
    </w:rPr>
  </w:style>
  <w:style w:type="character" w:customStyle="1" w:styleId="ListLabel13">
    <w:name w:val="ListLabel 13"/>
    <w:qFormat/>
    <w:rPr>
      <w:rFonts w:cs="Arial"/>
      <w:b w:val="0"/>
      <w:bCs w:val="0"/>
      <w:i w:val="0"/>
      <w:iCs w:val="0"/>
      <w:strike w:val="0"/>
      <w:dstrike w:val="0"/>
      <w:color w:val="00000A"/>
      <w:sz w:val="22"/>
      <w:szCs w:val="22"/>
      <w:u w:val="none"/>
    </w:rPr>
  </w:style>
  <w:style w:type="character" w:customStyle="1" w:styleId="ListLabel14">
    <w:name w:val="ListLabel 14"/>
    <w:qFormat/>
    <w:rPr>
      <w:rFonts w:cs="Arial"/>
      <w:b w:val="0"/>
      <w:bCs w:val="0"/>
      <w:i w:val="0"/>
      <w:iCs w:val="0"/>
      <w:strike w:val="0"/>
      <w:dstrike w:val="0"/>
      <w:color w:val="00000A"/>
      <w:sz w:val="22"/>
      <w:szCs w:val="22"/>
      <w:u w:val="none"/>
    </w:rPr>
  </w:style>
  <w:style w:type="character" w:customStyle="1" w:styleId="ListLabel15">
    <w:name w:val="ListLabel 15"/>
    <w:qFormat/>
    <w:rPr>
      <w:rFonts w:cs="Arial"/>
      <w:b w:val="0"/>
      <w:bCs w:val="0"/>
      <w:i w:val="0"/>
      <w:iCs w:val="0"/>
      <w:strike w:val="0"/>
      <w:dstrike w:val="0"/>
      <w:color w:val="00000A"/>
      <w:sz w:val="22"/>
      <w:szCs w:val="22"/>
      <w:u w:val="none"/>
    </w:rPr>
  </w:style>
  <w:style w:type="character" w:customStyle="1" w:styleId="ListLabel16">
    <w:name w:val="ListLabel 16"/>
    <w:qFormat/>
    <w:rPr>
      <w:rFonts w:cs="Arial"/>
      <w:b w:val="0"/>
      <w:bCs w:val="0"/>
      <w:i w:val="0"/>
      <w:iCs w:val="0"/>
      <w:strike w:val="0"/>
      <w:dstrike w:val="0"/>
      <w:color w:val="00000A"/>
      <w:sz w:val="22"/>
      <w:szCs w:val="22"/>
      <w:u w:val="none"/>
    </w:rPr>
  </w:style>
  <w:style w:type="character" w:customStyle="1" w:styleId="ListLabel17">
    <w:name w:val="ListLabel 17"/>
    <w:qFormat/>
    <w:rPr>
      <w:rFonts w:cs="Arial"/>
      <w:b w:val="0"/>
      <w:bCs w:val="0"/>
      <w:i w:val="0"/>
      <w:iCs w:val="0"/>
      <w:strike w:val="0"/>
      <w:dstrike w:val="0"/>
      <w:color w:val="00000A"/>
      <w:sz w:val="22"/>
      <w:szCs w:val="22"/>
      <w:u w:val="none"/>
    </w:rPr>
  </w:style>
  <w:style w:type="character" w:customStyle="1" w:styleId="ListLabel18">
    <w:name w:val="ListLabel 18"/>
    <w:qFormat/>
    <w:rPr>
      <w:rFonts w:cs="Arial"/>
      <w:b w:val="0"/>
      <w:bCs w:val="0"/>
      <w:i w:val="0"/>
      <w:iCs w:val="0"/>
      <w:strike w:val="0"/>
      <w:dstrike w:val="0"/>
      <w:color w:val="00000A"/>
      <w:sz w:val="22"/>
      <w:szCs w:val="22"/>
      <w:u w:val="none"/>
    </w:rPr>
  </w:style>
  <w:style w:type="paragraph" w:styleId="Titolo">
    <w:name w:val="Title"/>
    <w:basedOn w:val="Normale"/>
    <w:next w:val="Corpotesto"/>
    <w:qFormat/>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uiPriority w:val="99"/>
    <w:rsid w:val="009A64F5"/>
    <w:pPr>
      <w:widowControl w:val="0"/>
      <w:spacing w:after="0" w:line="240" w:lineRule="auto"/>
      <w:jc w:val="both"/>
    </w:pPr>
    <w:rPr>
      <w:rFonts w:ascii="Times New Roman" w:hAnsi="Times New Roman" w:cs="Times New Roman"/>
      <w:sz w:val="24"/>
      <w:szCs w:val="24"/>
    </w:r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customStyle="1" w:styleId="Normal">
    <w:name w:val="[Normal]"/>
    <w:uiPriority w:val="99"/>
    <w:qFormat/>
    <w:rsid w:val="009A64F5"/>
    <w:pPr>
      <w:widowControl w:val="0"/>
    </w:pPr>
    <w:rPr>
      <w:rFonts w:ascii="Arial" w:hAnsi="Arial" w:cs="Arial"/>
      <w:color w:val="00000A"/>
      <w:sz w:val="24"/>
      <w:szCs w:val="24"/>
    </w:rPr>
  </w:style>
  <w:style w:type="paragraph" w:styleId="Rientrocorpodeltesto2">
    <w:name w:val="Body Text Indent 2"/>
    <w:basedOn w:val="Normale"/>
    <w:link w:val="Rientrocorpodeltesto2Carattere"/>
    <w:uiPriority w:val="99"/>
    <w:qFormat/>
    <w:rsid w:val="009A64F5"/>
    <w:pPr>
      <w:widowControl w:val="0"/>
      <w:spacing w:after="0" w:line="240" w:lineRule="auto"/>
      <w:ind w:left="708"/>
      <w:jc w:val="both"/>
    </w:pPr>
    <w:rPr>
      <w:rFonts w:ascii="Verdana" w:hAnsi="Verdana" w:cs="Verdana"/>
      <w:sz w:val="18"/>
      <w:szCs w:val="18"/>
    </w:rPr>
  </w:style>
  <w:style w:type="paragraph" w:styleId="Paragrafoelenco">
    <w:name w:val="List Paragraph"/>
    <w:basedOn w:val="Normale"/>
    <w:uiPriority w:val="99"/>
    <w:qFormat/>
    <w:rsid w:val="009A64F5"/>
    <w:pPr>
      <w:spacing w:after="0" w:line="240" w:lineRule="auto"/>
      <w:ind w:left="720"/>
    </w:pPr>
    <w:rPr>
      <w:rFonts w:ascii="Times New Roman" w:hAnsi="Times New Roman" w:cs="Times New Roman"/>
      <w:sz w:val="24"/>
      <w:szCs w:val="24"/>
    </w:rPr>
  </w:style>
  <w:style w:type="paragraph" w:customStyle="1" w:styleId="Pa17">
    <w:name w:val="Pa17"/>
    <w:basedOn w:val="Normale"/>
    <w:uiPriority w:val="99"/>
    <w:qFormat/>
    <w:rsid w:val="009A64F5"/>
    <w:pPr>
      <w:widowControl w:val="0"/>
      <w:spacing w:after="0" w:line="241" w:lineRule="atLeast"/>
    </w:pPr>
    <w:rPr>
      <w:rFonts w:ascii="Futura Medium" w:hAnsi="Futura Medium" w:cs="Futura Medium"/>
      <w:sz w:val="24"/>
      <w:szCs w:val="24"/>
    </w:rPr>
  </w:style>
  <w:style w:type="paragraph" w:styleId="NormaleWeb">
    <w:name w:val="Normal (Web)"/>
    <w:basedOn w:val="Normale"/>
    <w:uiPriority w:val="99"/>
    <w:qFormat/>
    <w:rsid w:val="009A64F5"/>
    <w:pPr>
      <w:widowControl w:val="0"/>
      <w:spacing w:before="100" w:after="100" w:line="240" w:lineRule="auto"/>
    </w:pPr>
    <w:rPr>
      <w:rFonts w:ascii="Times New Roman" w:hAnsi="Times New Roman" w:cs="Times New Roman"/>
      <w:color w:val="000000"/>
      <w:sz w:val="24"/>
      <w:szCs w:val="24"/>
    </w:rPr>
  </w:style>
  <w:style w:type="paragraph" w:styleId="PreformattatoHTML">
    <w:name w:val="HTML Preformatted"/>
    <w:basedOn w:val="Normale"/>
    <w:link w:val="PreformattatoHTMLCarattere"/>
    <w:uiPriority w:val="99"/>
    <w:qFormat/>
    <w:rsid w:val="009A6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s>
      <w:spacing w:after="0" w:line="240" w:lineRule="auto"/>
    </w:pPr>
    <w:rPr>
      <w:rFonts w:ascii="Courier New" w:hAnsi="Courier New" w:cs="Courier New"/>
      <w:sz w:val="20"/>
      <w:szCs w:val="20"/>
    </w:rPr>
  </w:style>
  <w:style w:type="paragraph" w:styleId="Corpodeltesto2">
    <w:name w:val="Body Text 2"/>
    <w:basedOn w:val="Normale"/>
    <w:link w:val="Corpodeltesto2Carattere"/>
    <w:uiPriority w:val="99"/>
    <w:qFormat/>
    <w:rsid w:val="009A64F5"/>
    <w:pPr>
      <w:widowControl w:val="0"/>
      <w:spacing w:after="0" w:line="240" w:lineRule="auto"/>
      <w:ind w:left="567"/>
      <w:jc w:val="both"/>
    </w:pPr>
    <w:rPr>
      <w:rFonts w:ascii="Arial" w:hAnsi="Arial" w:cs="Arial"/>
      <w:sz w:val="24"/>
      <w:szCs w:val="24"/>
    </w:rPr>
  </w:style>
  <w:style w:type="paragraph" w:customStyle="1" w:styleId="Coomentoeda">
    <w:name w:val="Coomento eda"/>
    <w:basedOn w:val="Normale"/>
    <w:uiPriority w:val="99"/>
    <w:qFormat/>
    <w:rsid w:val="009A64F5"/>
    <w:pPr>
      <w:widowControl w:val="0"/>
      <w:spacing w:after="0" w:line="240" w:lineRule="auto"/>
      <w:jc w:val="both"/>
    </w:pPr>
    <w:rPr>
      <w:rFonts w:ascii="Times New Roman" w:hAnsi="Times New Roman" w:cs="Times New Roman"/>
      <w:sz w:val="24"/>
      <w:szCs w:val="24"/>
    </w:rPr>
  </w:style>
  <w:style w:type="paragraph" w:customStyle="1" w:styleId="nomearticolo">
    <w:name w:val="nome articolo"/>
    <w:basedOn w:val="Normale"/>
    <w:uiPriority w:val="99"/>
    <w:qFormat/>
    <w:rsid w:val="009A64F5"/>
    <w:pPr>
      <w:pBdr>
        <w:bottom w:val="single" w:sz="4" w:space="4" w:color="00000A"/>
      </w:pBdr>
    </w:pPr>
    <w:rPr>
      <w:rFonts w:ascii="Times New Roman" w:hAnsi="Times New Roman" w:cs="Times New Roman"/>
      <w:color w:val="FF0000"/>
      <w:sz w:val="28"/>
      <w:szCs w:val="28"/>
      <w:shd w:val="clear" w:color="auto" w:fill="E0E0E0"/>
    </w:rPr>
  </w:style>
  <w:style w:type="paragraph" w:customStyle="1" w:styleId="Articolo">
    <w:name w:val="Articolo"/>
    <w:basedOn w:val="Normale"/>
    <w:uiPriority w:val="99"/>
    <w:qFormat/>
    <w:rsid w:val="009A64F5"/>
    <w:rPr>
      <w:rFonts w:ascii="Arial" w:hAnsi="Arial" w:cs="Arial"/>
      <w:sz w:val="24"/>
      <w:szCs w:val="24"/>
      <w:shd w:val="clear" w:color="auto" w:fill="E0E0E0"/>
    </w:rPr>
  </w:style>
  <w:style w:type="paragraph" w:styleId="Testonormale">
    <w:name w:val="Plain Text"/>
    <w:basedOn w:val="Normale"/>
    <w:link w:val="TestonormaleCarattere"/>
    <w:uiPriority w:val="99"/>
    <w:qFormat/>
    <w:rsid w:val="009A64F5"/>
    <w:pPr>
      <w:widowControl w:val="0"/>
      <w:spacing w:after="0" w:line="360" w:lineRule="auto"/>
      <w:ind w:right="284"/>
      <w:jc w:val="both"/>
    </w:pPr>
    <w:rPr>
      <w:rFonts w:ascii="Courier New" w:hAnsi="Courier New" w:cs="Courier New"/>
      <w:sz w:val="20"/>
      <w:szCs w:val="20"/>
    </w:rPr>
  </w:style>
  <w:style w:type="paragraph" w:customStyle="1" w:styleId="Appunti">
    <w:name w:val="Appunti"/>
    <w:basedOn w:val="Normale"/>
    <w:uiPriority w:val="99"/>
    <w:qFormat/>
    <w:rsid w:val="009A64F5"/>
    <w:pPr>
      <w:pBdr>
        <w:bottom w:val="single" w:sz="4" w:space="4" w:color="00000A"/>
      </w:pBdr>
    </w:pPr>
    <w:rPr>
      <w:rFonts w:ascii="Times New Roman" w:hAnsi="Times New Roman" w:cs="Times New Roman"/>
      <w:sz w:val="24"/>
      <w:szCs w:val="24"/>
      <w:shd w:val="clear" w:color="auto" w:fill="E0E0E0"/>
    </w:rPr>
  </w:style>
  <w:style w:type="paragraph" w:customStyle="1" w:styleId="Articolosecondolivello">
    <w:name w:val="Articolo secondo livello"/>
    <w:basedOn w:val="Normale"/>
    <w:uiPriority w:val="99"/>
    <w:qFormat/>
    <w:rsid w:val="009A64F5"/>
    <w:pPr>
      <w:pBdr>
        <w:bottom w:val="single" w:sz="4" w:space="4" w:color="00000A"/>
      </w:pBdr>
    </w:pPr>
    <w:rPr>
      <w:rFonts w:ascii="Times New Roman" w:hAnsi="Times New Roman" w:cs="Times New Roman"/>
      <w:color w:val="000080"/>
      <w:sz w:val="20"/>
      <w:szCs w:val="20"/>
      <w:shd w:val="clear" w:color="auto" w:fill="E0E0E0"/>
    </w:rPr>
  </w:style>
  <w:style w:type="paragraph" w:styleId="Corpodeltesto3">
    <w:name w:val="Body Text 3"/>
    <w:basedOn w:val="Normale"/>
    <w:link w:val="Corpodeltesto3Carattere"/>
    <w:uiPriority w:val="99"/>
    <w:qFormat/>
    <w:rsid w:val="009A64F5"/>
    <w:pPr>
      <w:widowControl w:val="0"/>
      <w:tabs>
        <w:tab w:val="left" w:pos="851"/>
      </w:tabs>
      <w:spacing w:after="0" w:line="240" w:lineRule="auto"/>
      <w:jc w:val="both"/>
    </w:pPr>
    <w:rPr>
      <w:rFonts w:ascii="Times New Roman" w:hAnsi="Times New Roman" w:cs="Times New Roman"/>
      <w:sz w:val="24"/>
      <w:szCs w:val="24"/>
    </w:rPr>
  </w:style>
  <w:style w:type="paragraph" w:customStyle="1" w:styleId="Bolloco">
    <w:name w:val="Bolloco"/>
    <w:basedOn w:val="Normale"/>
    <w:uiPriority w:val="99"/>
    <w:qFormat/>
    <w:rsid w:val="009A64F5"/>
    <w:pPr>
      <w:widowControl w:val="0"/>
      <w:spacing w:after="0" w:line="480" w:lineRule="atLeast"/>
      <w:jc w:val="both"/>
    </w:pPr>
    <w:rPr>
      <w:rFonts w:ascii="Prestige 10cpi" w:hAnsi="Prestige 10cpi" w:cs="Prestige 10cpi"/>
      <w:sz w:val="24"/>
      <w:szCs w:val="24"/>
    </w:rPr>
  </w:style>
  <w:style w:type="paragraph" w:styleId="Testodelblocco">
    <w:name w:val="Block Text"/>
    <w:basedOn w:val="Normale"/>
    <w:uiPriority w:val="99"/>
    <w:qFormat/>
    <w:rsid w:val="009A64F5"/>
    <w:pPr>
      <w:pBdr>
        <w:bottom w:val="single" w:sz="4" w:space="1" w:color="00000A"/>
      </w:pBdr>
    </w:pPr>
    <w:rPr>
      <w:rFonts w:ascii="Arial" w:hAnsi="Arial" w:cs="Arial"/>
      <w:color w:val="33390B"/>
      <w:shd w:val="clear" w:color="auto" w:fill="FFFF8A"/>
    </w:rPr>
  </w:style>
  <w:style w:type="paragraph" w:styleId="Pidipagina">
    <w:name w:val="footer"/>
    <w:basedOn w:val="Normale"/>
    <w:link w:val="PidipaginaCarattere"/>
    <w:uiPriority w:val="99"/>
    <w:rsid w:val="009A64F5"/>
    <w:pPr>
      <w:tabs>
        <w:tab w:val="center" w:pos="4819"/>
        <w:tab w:val="right" w:pos="9638"/>
      </w:tabs>
      <w:spacing w:after="0" w:line="240" w:lineRule="auto"/>
    </w:pPr>
    <w:rPr>
      <w:rFonts w:ascii="Times New Roman" w:hAnsi="Times New Roman" w:cs="Times New Roman"/>
      <w:sz w:val="24"/>
      <w:szCs w:val="24"/>
    </w:rPr>
  </w:style>
  <w:style w:type="paragraph" w:customStyle="1" w:styleId="Titolo6">
    <w:name w:val="Titolo6"/>
    <w:basedOn w:val="Normale"/>
    <w:uiPriority w:val="99"/>
    <w:qFormat/>
    <w:rsid w:val="009A64F5"/>
    <w:pPr>
      <w:tabs>
        <w:tab w:val="left" w:pos="284"/>
      </w:tabs>
      <w:spacing w:after="0" w:line="240" w:lineRule="auto"/>
    </w:pPr>
    <w:rPr>
      <w:rFonts w:ascii="Times New Roman" w:hAnsi="Times New Roman" w:cs="Times New Roman"/>
      <w:b/>
      <w:bCs/>
    </w:rPr>
  </w:style>
  <w:style w:type="paragraph" w:customStyle="1" w:styleId="Normale0">
    <w:name w:val="[Normale]"/>
    <w:basedOn w:val="Normal"/>
    <w:uiPriority w:val="99"/>
    <w:qFormat/>
    <w:rsid w:val="009A64F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style>
  <w:style w:type="paragraph" w:customStyle="1" w:styleId="Default">
    <w:name w:val="Default"/>
    <w:basedOn w:val="Normale0"/>
    <w:uiPriority w:val="99"/>
    <w:qFormat/>
    <w:rsid w:val="009A64F5"/>
    <w:rPr>
      <w:rFonts w:ascii="Times New Roman" w:hAnsi="Times New Roman" w:cs="Times New Roman"/>
      <w:color w:val="000000"/>
    </w:rPr>
  </w:style>
  <w:style w:type="paragraph" w:styleId="Testofumetto">
    <w:name w:val="Balloon Text"/>
    <w:basedOn w:val="Normale"/>
    <w:link w:val="TestofumettoCarattere"/>
    <w:uiPriority w:val="99"/>
    <w:semiHidden/>
    <w:unhideWhenUsed/>
    <w:qFormat/>
    <w:rsid w:val="00D4370B"/>
    <w:pPr>
      <w:spacing w:after="0" w:line="240" w:lineRule="auto"/>
    </w:pPr>
    <w:rPr>
      <w:rFonts w:ascii="Segoe UI" w:hAnsi="Segoe UI" w:cs="Segoe UI"/>
      <w:sz w:val="18"/>
      <w:szCs w:val="18"/>
    </w:rPr>
  </w:style>
  <w:style w:type="paragraph" w:styleId="Intestazione">
    <w:name w:val="header"/>
    <w:basedOn w:val="Normale"/>
  </w:style>
  <w:style w:type="paragraph" w:customStyle="1" w:styleId="Contenutotabella">
    <w:name w:val="Contenuto tabella"/>
    <w:basedOn w:val="Normale"/>
    <w:qFormat/>
  </w:style>
  <w:style w:type="paragraph" w:customStyle="1" w:styleId="Titolotabella">
    <w:name w:val="Titolo tabella"/>
    <w:basedOn w:val="Contenutotabella"/>
    <w:qFormat/>
  </w:style>
  <w:style w:type="table" w:styleId="Grigliatabella">
    <w:name w:val="Table Grid"/>
    <w:basedOn w:val="Tabellanormale"/>
    <w:uiPriority w:val="39"/>
    <w:rsid w:val="00451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omune.andria.bt.it/trasparenza/societa-partecipat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26</Pages>
  <Words>7445</Words>
  <Characters>42438</Characters>
  <Application>Microsoft Office Word</Application>
  <DocSecurity>0</DocSecurity>
  <Lines>353</Lines>
  <Paragraphs>99</Paragraphs>
  <ScaleCrop>false</ScaleCrop>
  <Company/>
  <LinksUpToDate>false</LinksUpToDate>
  <CharactersWithSpaces>49784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ANDRIA CITTA</dc:creator>
  <dc:description/>
  <cp:lastModifiedBy>ANDRIA CITTA</cp:lastModifiedBy>
  <cp:revision>34</cp:revision>
  <cp:lastPrinted>2017-03-10T10:21:00Z</cp:lastPrinted>
  <dcterms:created xsi:type="dcterms:W3CDTF">2017-03-09T12:31:00Z</dcterms:created>
  <dcterms:modified xsi:type="dcterms:W3CDTF">2017-03-14T12:35:00Z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